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42" w:type="dxa"/>
        <w:tblInd w:w="-72" w:type="dxa"/>
        <w:tblCellMar>
          <w:left w:w="70" w:type="dxa"/>
          <w:right w:w="70" w:type="dxa"/>
        </w:tblCellMar>
        <w:tblLook w:val="0000" w:firstRow="0" w:lastRow="0" w:firstColumn="0" w:lastColumn="0" w:noHBand="0" w:noVBand="0"/>
      </w:tblPr>
      <w:tblGrid>
        <w:gridCol w:w="2240"/>
        <w:gridCol w:w="16802"/>
      </w:tblGrid>
      <w:tr w:rsidR="009333C7" w:rsidRPr="007028D3" w:rsidTr="002A0D12">
        <w:trPr>
          <w:trHeight w:val="2145"/>
        </w:trPr>
        <w:tc>
          <w:tcPr>
            <w:tcW w:w="2214" w:type="dxa"/>
          </w:tcPr>
          <w:p w:rsidR="009333C7" w:rsidRPr="007028D3" w:rsidRDefault="009333C7" w:rsidP="002A0D12">
            <w:pPr>
              <w:rPr>
                <w:rFonts w:ascii="Arial" w:hAnsi="Arial" w:cs="Arial"/>
                <w:sz w:val="28"/>
                <w:szCs w:val="28"/>
              </w:rPr>
            </w:pPr>
            <w:r>
              <w:rPr>
                <w:rFonts w:ascii="Arial" w:hAnsi="Arial" w:cs="Arial"/>
                <w:noProof/>
                <w:sz w:val="28"/>
                <w:szCs w:val="28"/>
                <w:lang w:val="fr-FR" w:eastAsia="fr-FR"/>
              </w:rPr>
              <w:drawing>
                <wp:inline distT="0" distB="0" distL="0" distR="0">
                  <wp:extent cx="1324610" cy="1276985"/>
                  <wp:effectExtent l="0" t="0" r="889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610" cy="1276985"/>
                          </a:xfrm>
                          <a:prstGeom prst="rect">
                            <a:avLst/>
                          </a:prstGeom>
                          <a:noFill/>
                          <a:ln>
                            <a:noFill/>
                          </a:ln>
                        </pic:spPr>
                      </pic:pic>
                    </a:graphicData>
                  </a:graphic>
                </wp:inline>
              </w:drawing>
            </w:r>
          </w:p>
        </w:tc>
        <w:tc>
          <w:tcPr>
            <w:tcW w:w="16828" w:type="dxa"/>
          </w:tcPr>
          <w:p w:rsidR="009333C7" w:rsidRPr="007028D3" w:rsidRDefault="009333C7" w:rsidP="002A0D12">
            <w:pPr>
              <w:spacing w:after="60"/>
              <w:ind w:right="2739" w:firstLine="168"/>
              <w:jc w:val="both"/>
              <w:rPr>
                <w:rFonts w:ascii="Arial" w:hAnsi="Arial" w:cs="Arial"/>
                <w:sz w:val="32"/>
                <w:lang w:val="fr-FR"/>
              </w:rPr>
            </w:pPr>
            <w:r w:rsidRPr="007028D3">
              <w:rPr>
                <w:rFonts w:ascii="Arial" w:hAnsi="Arial" w:cs="Arial"/>
                <w:sz w:val="32"/>
                <w:lang w:val="fr-LU"/>
              </w:rPr>
              <w:t>CONSEIL PARLEMENTAIRE INTERREGIONAL</w:t>
            </w:r>
          </w:p>
          <w:p w:rsidR="009333C7" w:rsidRPr="007028D3" w:rsidRDefault="009333C7" w:rsidP="002A0D12">
            <w:pPr>
              <w:spacing w:after="60"/>
              <w:ind w:right="9370" w:firstLine="168"/>
              <w:jc w:val="both"/>
              <w:rPr>
                <w:rFonts w:ascii="Arial" w:hAnsi="Arial" w:cs="Arial"/>
                <w:sz w:val="32"/>
                <w:szCs w:val="32"/>
                <w:lang w:val="fr-FR"/>
              </w:rPr>
            </w:pPr>
            <w:r w:rsidRPr="007028D3">
              <w:rPr>
                <w:rFonts w:ascii="Arial" w:hAnsi="Arial" w:cs="Arial"/>
                <w:sz w:val="32"/>
                <w:szCs w:val="32"/>
                <w:lang w:val="fr-FR"/>
              </w:rPr>
              <w:t>INTERREGIONALER PARLAMENTARIER-RAT</w:t>
            </w:r>
          </w:p>
          <w:p w:rsidR="009333C7" w:rsidRPr="007028D3" w:rsidRDefault="009333C7" w:rsidP="002A0D12">
            <w:pPr>
              <w:tabs>
                <w:tab w:val="left" w:pos="7538"/>
              </w:tabs>
              <w:spacing w:after="60"/>
              <w:ind w:left="110" w:right="9806"/>
              <w:jc w:val="center"/>
              <w:rPr>
                <w:rFonts w:ascii="Arial" w:hAnsi="Arial" w:cs="Arial"/>
                <w:b/>
                <w:lang w:val="de-LU"/>
              </w:rPr>
            </w:pPr>
            <w:r w:rsidRPr="007028D3">
              <w:rPr>
                <w:rFonts w:ascii="Arial" w:hAnsi="Arial" w:cs="Arial"/>
                <w:b/>
                <w:lang w:val="de-LU"/>
              </w:rPr>
              <w:t>Saarland</w:t>
            </w:r>
            <w:r>
              <w:rPr>
                <w:rFonts w:ascii="Arial" w:hAnsi="Arial" w:cs="Arial"/>
                <w:b/>
                <w:lang w:val="de-LU"/>
              </w:rPr>
              <w:t xml:space="preserve"> </w:t>
            </w:r>
            <w:r w:rsidRPr="007028D3">
              <w:rPr>
                <w:rFonts w:ascii="Arial" w:hAnsi="Arial" w:cs="Arial"/>
                <w:b/>
                <w:lang w:val="de-LU"/>
              </w:rPr>
              <w:t>-</w:t>
            </w:r>
            <w:r>
              <w:rPr>
                <w:rFonts w:ascii="Arial" w:hAnsi="Arial" w:cs="Arial"/>
                <w:b/>
                <w:lang w:val="de-LU"/>
              </w:rPr>
              <w:t xml:space="preserve"> </w:t>
            </w:r>
            <w:r w:rsidRPr="007028D3">
              <w:rPr>
                <w:rFonts w:ascii="Arial" w:hAnsi="Arial" w:cs="Arial"/>
                <w:b/>
                <w:lang w:val="de-LU"/>
              </w:rPr>
              <w:t>Lorraine</w:t>
            </w:r>
            <w:r>
              <w:rPr>
                <w:rFonts w:ascii="Arial" w:hAnsi="Arial" w:cs="Arial"/>
                <w:b/>
                <w:lang w:val="de-LU"/>
              </w:rPr>
              <w:t xml:space="preserve"> </w:t>
            </w:r>
            <w:r w:rsidRPr="007028D3">
              <w:rPr>
                <w:rFonts w:ascii="Arial" w:hAnsi="Arial" w:cs="Arial"/>
                <w:b/>
                <w:lang w:val="de-LU"/>
              </w:rPr>
              <w:t>-</w:t>
            </w:r>
            <w:r>
              <w:rPr>
                <w:rFonts w:ascii="Arial" w:hAnsi="Arial" w:cs="Arial"/>
                <w:b/>
                <w:lang w:val="de-LU"/>
              </w:rPr>
              <w:t xml:space="preserve"> </w:t>
            </w:r>
            <w:r w:rsidRPr="007028D3">
              <w:rPr>
                <w:rFonts w:ascii="Arial" w:hAnsi="Arial" w:cs="Arial"/>
                <w:b/>
                <w:lang w:val="de-LU"/>
              </w:rPr>
              <w:t>Luxembourg</w:t>
            </w:r>
            <w:r>
              <w:rPr>
                <w:rFonts w:ascii="Arial" w:hAnsi="Arial" w:cs="Arial"/>
                <w:b/>
                <w:lang w:val="de-LU"/>
              </w:rPr>
              <w:t xml:space="preserve"> </w:t>
            </w:r>
            <w:r w:rsidRPr="007028D3">
              <w:rPr>
                <w:rFonts w:ascii="Arial" w:hAnsi="Arial" w:cs="Arial"/>
                <w:b/>
                <w:lang w:val="de-LU"/>
              </w:rPr>
              <w:t>-</w:t>
            </w:r>
            <w:r>
              <w:rPr>
                <w:rFonts w:ascii="Arial" w:hAnsi="Arial" w:cs="Arial"/>
                <w:b/>
                <w:lang w:val="de-LU"/>
              </w:rPr>
              <w:t xml:space="preserve"> </w:t>
            </w:r>
            <w:r w:rsidRPr="007028D3">
              <w:rPr>
                <w:rFonts w:ascii="Arial" w:hAnsi="Arial" w:cs="Arial"/>
                <w:b/>
                <w:lang w:val="de-LU"/>
              </w:rPr>
              <w:t>Rheinland-Pfalz</w:t>
            </w:r>
            <w:r>
              <w:rPr>
                <w:rFonts w:ascii="Arial" w:hAnsi="Arial" w:cs="Arial"/>
                <w:b/>
                <w:lang w:val="de-LU"/>
              </w:rPr>
              <w:t xml:space="preserve"> </w:t>
            </w:r>
            <w:r w:rsidRPr="007028D3">
              <w:rPr>
                <w:rFonts w:ascii="Arial" w:hAnsi="Arial" w:cs="Arial"/>
                <w:b/>
                <w:lang w:val="de-LU"/>
              </w:rPr>
              <w:t>-</w:t>
            </w:r>
          </w:p>
          <w:p w:rsidR="009333C7" w:rsidRPr="007028D3" w:rsidRDefault="009333C7" w:rsidP="002A0D12">
            <w:pPr>
              <w:tabs>
                <w:tab w:val="left" w:pos="7538"/>
                <w:tab w:val="left" w:pos="7908"/>
              </w:tabs>
              <w:spacing w:after="60"/>
              <w:ind w:left="470" w:right="9560"/>
              <w:rPr>
                <w:rFonts w:ascii="Arial" w:hAnsi="Arial" w:cs="Arial"/>
                <w:b/>
                <w:lang w:val="fr-FR"/>
              </w:rPr>
            </w:pPr>
            <w:r w:rsidRPr="00AE7C31">
              <w:rPr>
                <w:rFonts w:ascii="Arial" w:hAnsi="Arial" w:cs="Arial"/>
                <w:b/>
                <w:lang w:val="de-LU"/>
              </w:rPr>
              <w:t xml:space="preserve"> </w:t>
            </w:r>
            <w:r w:rsidRPr="007028D3">
              <w:rPr>
                <w:rFonts w:ascii="Arial" w:hAnsi="Arial" w:cs="Arial"/>
                <w:b/>
                <w:lang w:val="fr-FR"/>
              </w:rPr>
              <w:t>Wallonie</w:t>
            </w:r>
            <w:r>
              <w:rPr>
                <w:rFonts w:ascii="Arial" w:hAnsi="Arial" w:cs="Arial"/>
                <w:b/>
                <w:lang w:val="fr-FR"/>
              </w:rPr>
              <w:t xml:space="preserve"> </w:t>
            </w:r>
            <w:r w:rsidRPr="007028D3">
              <w:rPr>
                <w:rFonts w:ascii="Arial" w:hAnsi="Arial" w:cs="Arial"/>
                <w:b/>
                <w:lang w:val="fr-FR"/>
              </w:rPr>
              <w:t>-</w:t>
            </w:r>
            <w:r>
              <w:rPr>
                <w:rFonts w:ascii="Arial" w:hAnsi="Arial" w:cs="Arial"/>
                <w:b/>
                <w:lang w:val="fr-FR"/>
              </w:rPr>
              <w:t xml:space="preserve"> </w:t>
            </w:r>
            <w:r w:rsidRPr="007028D3">
              <w:rPr>
                <w:rFonts w:ascii="Arial" w:hAnsi="Arial" w:cs="Arial"/>
                <w:b/>
                <w:lang w:val="fr-FR"/>
              </w:rPr>
              <w:t>Communauté Française de Belgique</w:t>
            </w:r>
            <w:r>
              <w:rPr>
                <w:rFonts w:ascii="Arial" w:hAnsi="Arial" w:cs="Arial"/>
                <w:b/>
                <w:lang w:val="fr-FR"/>
              </w:rPr>
              <w:t xml:space="preserve"> </w:t>
            </w:r>
            <w:r w:rsidRPr="007028D3">
              <w:rPr>
                <w:rFonts w:ascii="Arial" w:hAnsi="Arial" w:cs="Arial"/>
                <w:b/>
                <w:lang w:val="fr-FR"/>
              </w:rPr>
              <w:t>-</w:t>
            </w:r>
          </w:p>
          <w:p w:rsidR="009333C7" w:rsidRPr="007028D3" w:rsidRDefault="009333C7" w:rsidP="002A0D12">
            <w:pPr>
              <w:tabs>
                <w:tab w:val="left" w:pos="7538"/>
                <w:tab w:val="left" w:pos="7908"/>
              </w:tabs>
              <w:spacing w:after="60"/>
              <w:ind w:left="470" w:right="9806"/>
              <w:rPr>
                <w:rFonts w:ascii="Arial" w:hAnsi="Arial" w:cs="Arial"/>
                <w:b/>
              </w:rPr>
            </w:pPr>
            <w:r>
              <w:rPr>
                <w:rFonts w:ascii="Arial" w:hAnsi="Arial" w:cs="Arial"/>
                <w:b/>
                <w:lang w:val="fr-LU"/>
              </w:rPr>
              <w:t xml:space="preserve"> </w:t>
            </w:r>
            <w:r w:rsidRPr="007028D3">
              <w:rPr>
                <w:rFonts w:ascii="Arial" w:hAnsi="Arial" w:cs="Arial"/>
                <w:b/>
              </w:rPr>
              <w:t>Deutschsprachige Gemeinschaft Belgiens</w:t>
            </w:r>
          </w:p>
          <w:p w:rsidR="009333C7" w:rsidRPr="007028D3" w:rsidRDefault="009333C7" w:rsidP="002A0D12">
            <w:pPr>
              <w:spacing w:before="120" w:after="120"/>
              <w:ind w:left="114" w:right="8267" w:hanging="74"/>
              <w:jc w:val="both"/>
              <w:rPr>
                <w:rFonts w:ascii="Arial" w:hAnsi="Arial" w:cs="Arial"/>
                <w:sz w:val="16"/>
                <w:szCs w:val="16"/>
                <w:lang w:val="de-LU"/>
              </w:rPr>
            </w:pPr>
            <w:r>
              <w:rPr>
                <w:rFonts w:ascii="Arial" w:hAnsi="Arial" w:cs="Arial"/>
                <w:sz w:val="16"/>
                <w:szCs w:val="16"/>
                <w:lang w:val="de-LU"/>
              </w:rPr>
              <w:t xml:space="preserve"> </w:t>
            </w:r>
            <w:r w:rsidRPr="007028D3">
              <w:rPr>
                <w:rFonts w:ascii="Arial" w:hAnsi="Arial" w:cs="Arial"/>
                <w:sz w:val="16"/>
                <w:szCs w:val="16"/>
                <w:lang w:val="de-LU"/>
              </w:rPr>
              <w:t xml:space="preserve">23, </w:t>
            </w:r>
            <w:proofErr w:type="spellStart"/>
            <w:r w:rsidRPr="007028D3">
              <w:rPr>
                <w:rFonts w:ascii="Arial" w:hAnsi="Arial" w:cs="Arial"/>
                <w:sz w:val="16"/>
                <w:szCs w:val="16"/>
                <w:lang w:val="de-LU"/>
              </w:rPr>
              <w:t>rue</w:t>
            </w:r>
            <w:proofErr w:type="spellEnd"/>
            <w:r w:rsidRPr="007028D3">
              <w:rPr>
                <w:rFonts w:ascii="Arial" w:hAnsi="Arial" w:cs="Arial"/>
                <w:sz w:val="16"/>
                <w:szCs w:val="16"/>
                <w:lang w:val="de-LU"/>
              </w:rPr>
              <w:t xml:space="preserve"> du </w:t>
            </w:r>
            <w:proofErr w:type="spellStart"/>
            <w:r w:rsidRPr="007028D3">
              <w:rPr>
                <w:rFonts w:ascii="Arial" w:hAnsi="Arial" w:cs="Arial"/>
                <w:sz w:val="16"/>
                <w:szCs w:val="16"/>
                <w:lang w:val="de-LU"/>
              </w:rPr>
              <w:t>Marché</w:t>
            </w:r>
            <w:proofErr w:type="spellEnd"/>
            <w:r w:rsidRPr="007028D3">
              <w:rPr>
                <w:rFonts w:ascii="Arial" w:hAnsi="Arial" w:cs="Arial"/>
                <w:sz w:val="16"/>
                <w:szCs w:val="16"/>
                <w:lang w:val="de-LU"/>
              </w:rPr>
              <w:t>-</w:t>
            </w:r>
            <w:proofErr w:type="spellStart"/>
            <w:r w:rsidRPr="007028D3">
              <w:rPr>
                <w:rFonts w:ascii="Arial" w:hAnsi="Arial" w:cs="Arial"/>
                <w:sz w:val="16"/>
                <w:szCs w:val="16"/>
                <w:lang w:val="de-LU"/>
              </w:rPr>
              <w:t>aux</w:t>
            </w:r>
            <w:proofErr w:type="spellEnd"/>
            <w:r w:rsidRPr="007028D3">
              <w:rPr>
                <w:rFonts w:ascii="Arial" w:hAnsi="Arial" w:cs="Arial"/>
                <w:sz w:val="16"/>
                <w:szCs w:val="16"/>
                <w:lang w:val="de-LU"/>
              </w:rPr>
              <w:t xml:space="preserve">-Herbes, L-1728 Luxembourg </w:t>
            </w:r>
            <w:proofErr w:type="spellStart"/>
            <w:r w:rsidRPr="007028D3">
              <w:rPr>
                <w:rFonts w:ascii="Arial" w:hAnsi="Arial" w:cs="Arial"/>
                <w:sz w:val="16"/>
                <w:szCs w:val="16"/>
                <w:lang w:val="de-LU"/>
              </w:rPr>
              <w:t>Tél</w:t>
            </w:r>
            <w:proofErr w:type="spellEnd"/>
            <w:r w:rsidRPr="007028D3">
              <w:rPr>
                <w:rFonts w:ascii="Arial" w:hAnsi="Arial" w:cs="Arial"/>
                <w:sz w:val="16"/>
                <w:szCs w:val="16"/>
                <w:lang w:val="de-LU"/>
              </w:rPr>
              <w:t xml:space="preserve"> : (352) 466966-1 Fax : (352) 466966-209 </w:t>
            </w:r>
          </w:p>
          <w:p w:rsidR="009333C7" w:rsidRPr="007028D3" w:rsidRDefault="009333C7" w:rsidP="002A0D12">
            <w:pPr>
              <w:ind w:right="8888"/>
              <w:jc w:val="both"/>
              <w:rPr>
                <w:rFonts w:ascii="Arial" w:hAnsi="Arial" w:cs="Arial"/>
                <w:sz w:val="28"/>
                <w:szCs w:val="28"/>
              </w:rPr>
            </w:pPr>
            <w:r w:rsidRPr="007028D3">
              <w:rPr>
                <w:rFonts w:ascii="Arial" w:hAnsi="Arial" w:cs="Arial"/>
                <w:sz w:val="20"/>
                <w:lang w:val="de-LU"/>
              </w:rPr>
              <w:t xml:space="preserve"> </w:t>
            </w:r>
            <w:r w:rsidRPr="007028D3">
              <w:rPr>
                <w:rFonts w:ascii="Arial" w:hAnsi="Arial" w:cs="Arial"/>
                <w:sz w:val="20"/>
              </w:rPr>
              <w:t>_____________________________________________________________________</w:t>
            </w:r>
          </w:p>
        </w:tc>
      </w:tr>
      <w:tr w:rsidR="009333C7" w:rsidRPr="007028D3" w:rsidTr="002A0D12">
        <w:trPr>
          <w:trHeight w:val="68"/>
        </w:trPr>
        <w:tc>
          <w:tcPr>
            <w:tcW w:w="2214" w:type="dxa"/>
          </w:tcPr>
          <w:p w:rsidR="009333C7" w:rsidRPr="007028D3" w:rsidRDefault="009333C7" w:rsidP="002A0D12">
            <w:pPr>
              <w:rPr>
                <w:rFonts w:ascii="Arial" w:hAnsi="Arial" w:cs="Arial"/>
                <w:sz w:val="28"/>
                <w:szCs w:val="28"/>
              </w:rPr>
            </w:pPr>
          </w:p>
        </w:tc>
        <w:tc>
          <w:tcPr>
            <w:tcW w:w="16828" w:type="dxa"/>
          </w:tcPr>
          <w:p w:rsidR="009333C7" w:rsidRPr="007028D3" w:rsidRDefault="009333C7" w:rsidP="002A0D12">
            <w:pPr>
              <w:ind w:right="2739" w:firstLine="168"/>
              <w:jc w:val="both"/>
              <w:rPr>
                <w:rFonts w:ascii="Arial" w:hAnsi="Arial" w:cs="Arial"/>
                <w:sz w:val="32"/>
                <w:szCs w:val="32"/>
                <w:lang w:val="fr-FR"/>
              </w:rPr>
            </w:pPr>
          </w:p>
        </w:tc>
      </w:tr>
    </w:tbl>
    <w:p w:rsidR="009333C7" w:rsidRPr="007028D3" w:rsidRDefault="009333C7" w:rsidP="009333C7">
      <w:pPr>
        <w:ind w:right="-280"/>
        <w:jc w:val="both"/>
        <w:rPr>
          <w:rFonts w:ascii="Arial" w:hAnsi="Arial" w:cs="Arial"/>
          <w:b/>
          <w:lang w:val="fr-FR"/>
        </w:rPr>
      </w:pPr>
    </w:p>
    <w:p w:rsidR="009333C7" w:rsidRDefault="009333C7" w:rsidP="009333C7">
      <w:pPr>
        <w:ind w:right="-280"/>
        <w:jc w:val="center"/>
        <w:rPr>
          <w:b/>
          <w:sz w:val="28"/>
          <w:szCs w:val="28"/>
          <w:lang w:val="fr-LU"/>
        </w:rPr>
      </w:pPr>
      <w:r>
        <w:rPr>
          <w:b/>
          <w:sz w:val="28"/>
          <w:szCs w:val="28"/>
          <w:lang w:val="fr-FR"/>
        </w:rPr>
        <w:t>R</w:t>
      </w:r>
      <w:proofErr w:type="spellStart"/>
      <w:r w:rsidRPr="00F467E6">
        <w:rPr>
          <w:b/>
          <w:sz w:val="28"/>
          <w:szCs w:val="28"/>
          <w:lang w:val="fr-LU"/>
        </w:rPr>
        <w:t>ecommandation</w:t>
      </w:r>
      <w:proofErr w:type="spellEnd"/>
      <w:r w:rsidRPr="00F467E6">
        <w:rPr>
          <w:b/>
          <w:sz w:val="28"/>
          <w:szCs w:val="28"/>
          <w:lang w:val="fr-LU"/>
        </w:rPr>
        <w:t xml:space="preserve"> </w:t>
      </w:r>
    </w:p>
    <w:p w:rsidR="009333C7" w:rsidRDefault="009333C7" w:rsidP="009333C7">
      <w:pPr>
        <w:ind w:right="-280"/>
        <w:jc w:val="center"/>
        <w:rPr>
          <w:b/>
          <w:sz w:val="28"/>
          <w:szCs w:val="28"/>
          <w:lang w:val="fr-LU"/>
        </w:rPr>
      </w:pPr>
    </w:p>
    <w:p w:rsidR="009333C7" w:rsidRPr="009333C7" w:rsidRDefault="009333C7" w:rsidP="009333C7">
      <w:pPr>
        <w:ind w:right="-280"/>
        <w:jc w:val="center"/>
        <w:rPr>
          <w:b/>
          <w:sz w:val="28"/>
          <w:szCs w:val="28"/>
          <w:u w:val="single"/>
          <w:lang w:val="fr-LU"/>
        </w:rPr>
      </w:pPr>
      <w:r w:rsidRPr="009333C7">
        <w:rPr>
          <w:b/>
          <w:sz w:val="28"/>
          <w:szCs w:val="28"/>
          <w:u w:val="single"/>
          <w:lang w:val="fr-LU"/>
        </w:rPr>
        <w:t>Gestion de l’eau potable dans la Grande Région</w:t>
      </w:r>
    </w:p>
    <w:p w:rsidR="009333C7" w:rsidRDefault="009333C7" w:rsidP="009333C7">
      <w:pPr>
        <w:ind w:right="-280"/>
        <w:jc w:val="center"/>
        <w:rPr>
          <w:b/>
          <w:sz w:val="28"/>
          <w:szCs w:val="28"/>
          <w:lang w:val="fr-LU"/>
        </w:rPr>
      </w:pPr>
    </w:p>
    <w:p w:rsidR="009333C7" w:rsidRPr="00F467E6" w:rsidRDefault="009333C7" w:rsidP="009333C7">
      <w:pPr>
        <w:ind w:right="-280"/>
        <w:jc w:val="center"/>
        <w:rPr>
          <w:b/>
          <w:i/>
          <w:sz w:val="28"/>
          <w:szCs w:val="28"/>
          <w:lang w:val="fr-LU"/>
        </w:rPr>
      </w:pPr>
      <w:r w:rsidRPr="00F467E6">
        <w:rPr>
          <w:b/>
          <w:i/>
          <w:sz w:val="28"/>
          <w:szCs w:val="28"/>
          <w:lang w:val="fr-LU"/>
        </w:rPr>
        <w:t>Pour une politique de la gestion de l’eau</w:t>
      </w:r>
      <w:r>
        <w:rPr>
          <w:b/>
          <w:i/>
          <w:sz w:val="28"/>
          <w:szCs w:val="28"/>
          <w:lang w:val="fr-LU"/>
        </w:rPr>
        <w:t xml:space="preserve"> potable </w:t>
      </w:r>
      <w:r w:rsidRPr="00F467E6">
        <w:rPr>
          <w:b/>
          <w:i/>
          <w:sz w:val="28"/>
          <w:szCs w:val="28"/>
          <w:lang w:val="fr-LU"/>
        </w:rPr>
        <w:t>plus intégrée</w:t>
      </w:r>
    </w:p>
    <w:p w:rsidR="009333C7" w:rsidRPr="00F467E6" w:rsidRDefault="009333C7" w:rsidP="009333C7">
      <w:pPr>
        <w:ind w:right="-280"/>
        <w:jc w:val="center"/>
        <w:rPr>
          <w:b/>
          <w:sz w:val="28"/>
          <w:szCs w:val="28"/>
          <w:lang w:val="fr-LU"/>
        </w:rPr>
      </w:pPr>
      <w:r>
        <w:rPr>
          <w:b/>
          <w:sz w:val="28"/>
          <w:szCs w:val="28"/>
          <w:lang w:val="fr-LU"/>
        </w:rPr>
        <w:t xml:space="preserve"> </w:t>
      </w:r>
      <w:r w:rsidRPr="00F467E6">
        <w:rPr>
          <w:b/>
          <w:sz w:val="28"/>
          <w:szCs w:val="28"/>
          <w:lang w:val="fr-LU"/>
        </w:rPr>
        <w:t xml:space="preserve"> </w:t>
      </w:r>
    </w:p>
    <w:p w:rsidR="009333C7" w:rsidRPr="001B0040" w:rsidRDefault="009333C7" w:rsidP="009333C7">
      <w:pPr>
        <w:ind w:right="-280"/>
        <w:jc w:val="both"/>
        <w:rPr>
          <w:b/>
          <w:lang w:val="fr-LU"/>
        </w:rPr>
      </w:pPr>
    </w:p>
    <w:p w:rsidR="009333C7" w:rsidRPr="001B0040" w:rsidRDefault="009333C7" w:rsidP="009333C7">
      <w:pPr>
        <w:ind w:right="-280"/>
        <w:jc w:val="both"/>
        <w:rPr>
          <w:b/>
          <w:lang w:val="fr-LU"/>
        </w:rPr>
      </w:pPr>
    </w:p>
    <w:p w:rsidR="009333C7" w:rsidRPr="00100B0E" w:rsidRDefault="009333C7" w:rsidP="009333C7">
      <w:pPr>
        <w:ind w:right="-280"/>
        <w:jc w:val="both"/>
        <w:rPr>
          <w:lang w:val="fr-FR"/>
        </w:rPr>
      </w:pPr>
      <w:r w:rsidRPr="00100B0E">
        <w:rPr>
          <w:lang w:val="fr-FR"/>
        </w:rPr>
        <w:t>Le Conseil Parlementaire Interrégional, réuni en sé</w:t>
      </w:r>
      <w:r>
        <w:rPr>
          <w:lang w:val="fr-FR"/>
        </w:rPr>
        <w:t xml:space="preserve">ance plénière à Metz le 1 juin </w:t>
      </w:r>
      <w:r w:rsidRPr="00100B0E">
        <w:rPr>
          <w:lang w:val="fr-FR"/>
        </w:rPr>
        <w:t>2012</w:t>
      </w:r>
    </w:p>
    <w:p w:rsidR="009333C7" w:rsidRPr="00100B0E" w:rsidRDefault="009333C7" w:rsidP="009333C7">
      <w:pPr>
        <w:ind w:right="-280"/>
        <w:jc w:val="both"/>
        <w:rPr>
          <w:lang w:val="fr-LU"/>
        </w:rPr>
      </w:pPr>
    </w:p>
    <w:p w:rsidR="009333C7" w:rsidRPr="00100B0E" w:rsidRDefault="009333C7" w:rsidP="009333C7">
      <w:pPr>
        <w:ind w:right="-280"/>
        <w:jc w:val="both"/>
        <w:rPr>
          <w:lang w:val="fr-LU"/>
        </w:rPr>
      </w:pPr>
    </w:p>
    <w:p w:rsidR="009333C7" w:rsidRPr="00100B0E" w:rsidRDefault="009333C7" w:rsidP="009333C7">
      <w:pPr>
        <w:numPr>
          <w:ilvl w:val="0"/>
          <w:numId w:val="3"/>
        </w:numPr>
        <w:spacing w:after="240"/>
        <w:ind w:right="-278" w:hanging="720"/>
        <w:jc w:val="both"/>
        <w:rPr>
          <w:bCs/>
          <w:i/>
          <w:lang w:val="fr-LU"/>
        </w:rPr>
      </w:pPr>
      <w:r w:rsidRPr="00100B0E">
        <w:rPr>
          <w:bCs/>
          <w:i/>
          <w:lang w:val="fr-LU"/>
        </w:rPr>
        <w:t>Soulignant l’importance du dialogue interparlementaire qui permet d’évoquer régulièrement l’état et les perspectives des relations transfrontalières au sein de la Grande Région ;</w:t>
      </w:r>
    </w:p>
    <w:p w:rsidR="009333C7" w:rsidRPr="00100B0E" w:rsidRDefault="009333C7" w:rsidP="009333C7">
      <w:pPr>
        <w:numPr>
          <w:ilvl w:val="0"/>
          <w:numId w:val="3"/>
        </w:numPr>
        <w:spacing w:after="240"/>
        <w:ind w:right="-278" w:hanging="720"/>
        <w:jc w:val="both"/>
        <w:rPr>
          <w:bCs/>
          <w:i/>
          <w:lang w:val="fr-LU"/>
        </w:rPr>
      </w:pPr>
      <w:r w:rsidRPr="00100B0E">
        <w:rPr>
          <w:bCs/>
          <w:i/>
          <w:lang w:val="fr-LU"/>
        </w:rPr>
        <w:t>Considérant que l’eau constitue un patrimoine naturel de la Grande Région ;</w:t>
      </w:r>
    </w:p>
    <w:p w:rsidR="009333C7" w:rsidRPr="00100B0E" w:rsidRDefault="009333C7" w:rsidP="009333C7">
      <w:pPr>
        <w:numPr>
          <w:ilvl w:val="0"/>
          <w:numId w:val="3"/>
        </w:numPr>
        <w:spacing w:after="240"/>
        <w:ind w:right="-278" w:hanging="720"/>
        <w:jc w:val="both"/>
        <w:rPr>
          <w:bCs/>
          <w:i/>
          <w:lang w:val="fr-LU"/>
        </w:rPr>
      </w:pPr>
      <w:r w:rsidRPr="00100B0E">
        <w:rPr>
          <w:bCs/>
          <w:i/>
          <w:lang w:val="fr-LU"/>
        </w:rPr>
        <w:t xml:space="preserve">Considérant qu’un bon état chimique et écologique de l’eau est indispensable à l’approvisionnement en eau potable, à la protection de la santé humaine et à la biodiversité ;  </w:t>
      </w:r>
    </w:p>
    <w:p w:rsidR="009333C7" w:rsidRPr="00100B0E" w:rsidRDefault="009333C7" w:rsidP="009333C7">
      <w:pPr>
        <w:numPr>
          <w:ilvl w:val="0"/>
          <w:numId w:val="3"/>
        </w:numPr>
        <w:spacing w:after="240"/>
        <w:ind w:right="-278" w:hanging="720"/>
        <w:jc w:val="both"/>
        <w:rPr>
          <w:bCs/>
          <w:i/>
          <w:lang w:val="fr-LU"/>
        </w:rPr>
      </w:pPr>
      <w:r w:rsidRPr="00100B0E">
        <w:rPr>
          <w:bCs/>
          <w:i/>
          <w:lang w:val="fr-LU"/>
        </w:rPr>
        <w:t xml:space="preserve">Considérant que dans la Grande Région les milieux aquatiques sont exposés à une pollution considérable par des pesticides et d’autres produits chimiques et que les partenaires de la Grande Région sont particulièrement interdépendants à cet égard ; </w:t>
      </w:r>
    </w:p>
    <w:p w:rsidR="009333C7" w:rsidRPr="00100B0E" w:rsidRDefault="009333C7" w:rsidP="009333C7">
      <w:pPr>
        <w:numPr>
          <w:ilvl w:val="0"/>
          <w:numId w:val="3"/>
        </w:numPr>
        <w:spacing w:after="240"/>
        <w:ind w:right="-278" w:hanging="720"/>
        <w:jc w:val="both"/>
        <w:rPr>
          <w:bCs/>
          <w:i/>
          <w:lang w:val="fr-LU"/>
        </w:rPr>
      </w:pPr>
      <w:r w:rsidRPr="00100B0E">
        <w:rPr>
          <w:bCs/>
          <w:i/>
          <w:lang w:val="fr-LU"/>
        </w:rPr>
        <w:t xml:space="preserve">Considérant qu’il est moins onéreux de protéger les ressources d’eau que de les remettre en état ultérieurement ; </w:t>
      </w:r>
    </w:p>
    <w:p w:rsidR="009333C7" w:rsidRPr="00100B0E" w:rsidRDefault="009333C7" w:rsidP="009333C7">
      <w:pPr>
        <w:numPr>
          <w:ilvl w:val="0"/>
          <w:numId w:val="3"/>
        </w:numPr>
        <w:spacing w:after="240"/>
        <w:ind w:right="-278" w:hanging="720"/>
        <w:jc w:val="both"/>
        <w:rPr>
          <w:bCs/>
          <w:i/>
          <w:lang w:val="fr-LU"/>
        </w:rPr>
      </w:pPr>
      <w:r w:rsidRPr="00100B0E">
        <w:rPr>
          <w:bCs/>
          <w:i/>
          <w:lang w:val="fr-LU"/>
        </w:rPr>
        <w:t>Considérant qu’il est nécessaire, entre autres à cause de l’accélération du changement climatique, de mener une gestion de l’eau durable afin que la baisse du niveau des nappes phréatiques et des lacs n’atteigne pas de nouveaux records ;</w:t>
      </w:r>
    </w:p>
    <w:p w:rsidR="009333C7" w:rsidRPr="00100B0E" w:rsidRDefault="009333C7" w:rsidP="009333C7">
      <w:pPr>
        <w:numPr>
          <w:ilvl w:val="0"/>
          <w:numId w:val="3"/>
        </w:numPr>
        <w:spacing w:after="240"/>
        <w:ind w:right="-278" w:hanging="720"/>
        <w:jc w:val="both"/>
        <w:rPr>
          <w:bCs/>
          <w:i/>
          <w:lang w:val="fr-LU"/>
        </w:rPr>
      </w:pPr>
      <w:r w:rsidRPr="00100B0E">
        <w:rPr>
          <w:bCs/>
          <w:i/>
          <w:lang w:val="fr-LU"/>
        </w:rPr>
        <w:t>Considérant que même dans des régions riches en eau, où des périodes de sécheresse ne peuvent pas être exclues, le gaspillage de ressources aquatiques peut devenir un problème considérable ;</w:t>
      </w:r>
    </w:p>
    <w:p w:rsidR="009333C7" w:rsidRPr="00100B0E" w:rsidRDefault="009333C7" w:rsidP="009333C7">
      <w:pPr>
        <w:numPr>
          <w:ilvl w:val="0"/>
          <w:numId w:val="3"/>
        </w:numPr>
        <w:spacing w:after="240"/>
        <w:ind w:right="-278" w:hanging="720"/>
        <w:jc w:val="both"/>
        <w:rPr>
          <w:bCs/>
          <w:i/>
          <w:lang w:val="fr-LU"/>
        </w:rPr>
      </w:pPr>
      <w:r w:rsidRPr="00100B0E">
        <w:rPr>
          <w:bCs/>
          <w:i/>
          <w:lang w:val="fr-LU"/>
        </w:rPr>
        <w:t>Considérant qu’une gestion des sols durable dans le domaine de l’agriculture, dans les zones de lotissement et les zones industrielles, ainsi qu’en ce qui concerne le développement d’infrastructures, constitue un préalable nécessaire à une gestion de l’eau potable efficace ;</w:t>
      </w:r>
    </w:p>
    <w:p w:rsidR="009333C7" w:rsidRPr="00100B0E" w:rsidRDefault="009333C7" w:rsidP="009333C7">
      <w:pPr>
        <w:numPr>
          <w:ilvl w:val="0"/>
          <w:numId w:val="3"/>
        </w:numPr>
        <w:spacing w:after="240"/>
        <w:ind w:right="-278" w:hanging="720"/>
        <w:jc w:val="both"/>
        <w:rPr>
          <w:bCs/>
          <w:i/>
          <w:lang w:val="fr-LU"/>
        </w:rPr>
      </w:pPr>
      <w:r w:rsidRPr="00100B0E">
        <w:rPr>
          <w:bCs/>
          <w:i/>
          <w:lang w:val="fr-LU"/>
        </w:rPr>
        <w:lastRenderedPageBreak/>
        <w:t>Considérant que la politique de l’eau potable se situe au carrefour d’un grand nombre de champs politiques et que l’intégration de ces derniers constitue la meilleure manière de garantir le développement durable de la gestion de l’eau potable ;</w:t>
      </w:r>
    </w:p>
    <w:p w:rsidR="009333C7" w:rsidRPr="00100B0E" w:rsidRDefault="009333C7" w:rsidP="009333C7">
      <w:pPr>
        <w:numPr>
          <w:ilvl w:val="0"/>
          <w:numId w:val="3"/>
        </w:numPr>
        <w:spacing w:after="240"/>
        <w:ind w:right="-278" w:hanging="720"/>
        <w:jc w:val="both"/>
        <w:rPr>
          <w:bCs/>
          <w:i/>
          <w:lang w:val="fr-LU"/>
        </w:rPr>
      </w:pPr>
      <w:r w:rsidRPr="00100B0E">
        <w:rPr>
          <w:bCs/>
          <w:i/>
          <w:lang w:val="fr-LU"/>
        </w:rPr>
        <w:t xml:space="preserve">Considérant que l’approvisionnement en eau potable pour les citoyens de la Grande Région doit continuer à répondre aux </w:t>
      </w:r>
      <w:r>
        <w:rPr>
          <w:bCs/>
          <w:i/>
          <w:lang w:val="fr-LU"/>
        </w:rPr>
        <w:t>normes</w:t>
      </w:r>
      <w:r w:rsidRPr="00100B0E">
        <w:rPr>
          <w:bCs/>
          <w:i/>
          <w:lang w:val="fr-LU"/>
        </w:rPr>
        <w:t xml:space="preserve"> de qualité et de sécurité les plus élevé</w:t>
      </w:r>
      <w:r>
        <w:rPr>
          <w:bCs/>
          <w:i/>
          <w:lang w:val="fr-LU"/>
        </w:rPr>
        <w:t>e</w:t>
      </w:r>
      <w:r w:rsidRPr="00100B0E">
        <w:rPr>
          <w:bCs/>
          <w:i/>
          <w:lang w:val="fr-LU"/>
        </w:rPr>
        <w:t>s ;</w:t>
      </w:r>
    </w:p>
    <w:p w:rsidR="009333C7" w:rsidRPr="00100B0E" w:rsidRDefault="009333C7" w:rsidP="009333C7">
      <w:pPr>
        <w:numPr>
          <w:ilvl w:val="0"/>
          <w:numId w:val="3"/>
        </w:numPr>
        <w:spacing w:after="240"/>
        <w:ind w:right="-278" w:hanging="720"/>
        <w:jc w:val="both"/>
        <w:rPr>
          <w:bCs/>
          <w:i/>
          <w:lang w:val="fr-LU"/>
        </w:rPr>
      </w:pPr>
      <w:r w:rsidRPr="00100B0E">
        <w:rPr>
          <w:bCs/>
          <w:i/>
          <w:lang w:val="fr-LU"/>
        </w:rPr>
        <w:t>Considérant que l’accès à une eau de bonne qualité contribue à la santé publique, à la prospérité et à la réduction de la pauvreté ;</w:t>
      </w:r>
    </w:p>
    <w:p w:rsidR="009333C7" w:rsidRPr="00100B0E" w:rsidRDefault="009333C7" w:rsidP="009333C7">
      <w:pPr>
        <w:numPr>
          <w:ilvl w:val="0"/>
          <w:numId w:val="3"/>
        </w:numPr>
        <w:spacing w:after="240"/>
        <w:ind w:right="-278" w:hanging="720"/>
        <w:jc w:val="both"/>
        <w:rPr>
          <w:bCs/>
          <w:i/>
          <w:lang w:val="fr-LU"/>
        </w:rPr>
      </w:pPr>
      <w:r w:rsidRPr="00100B0E">
        <w:rPr>
          <w:bCs/>
          <w:i/>
          <w:lang w:val="fr-LU"/>
        </w:rPr>
        <w:t>Considérant que dans le contexte de la crise financière et économique surtout les ménages les plus fragiles éprouvent des difficultés à financer les biens les plus élémentaires ;</w:t>
      </w:r>
    </w:p>
    <w:p w:rsidR="009333C7" w:rsidRPr="00100B0E" w:rsidRDefault="009333C7" w:rsidP="009333C7">
      <w:pPr>
        <w:numPr>
          <w:ilvl w:val="0"/>
          <w:numId w:val="3"/>
        </w:numPr>
        <w:spacing w:after="240"/>
        <w:ind w:right="-278" w:hanging="720"/>
        <w:jc w:val="both"/>
        <w:rPr>
          <w:bCs/>
          <w:i/>
          <w:lang w:val="fr-LU"/>
        </w:rPr>
      </w:pPr>
      <w:r w:rsidRPr="00100B0E">
        <w:rPr>
          <w:bCs/>
          <w:i/>
          <w:lang w:val="fr-LU"/>
        </w:rPr>
        <w:t>Considérant que la solidarité dans le domaine de l’eau et le problème de la répartition inégale de l’accès à l’eau propre constituait l’un des thèmes centraux du 6</w:t>
      </w:r>
      <w:r w:rsidRPr="00100B0E">
        <w:rPr>
          <w:bCs/>
          <w:i/>
          <w:vertAlign w:val="superscript"/>
          <w:lang w:val="fr-LU"/>
        </w:rPr>
        <w:t>ème</w:t>
      </w:r>
      <w:r w:rsidRPr="00100B0E">
        <w:rPr>
          <w:bCs/>
          <w:i/>
          <w:lang w:val="fr-LU"/>
        </w:rPr>
        <w:t xml:space="preserve"> Forum mondial sur l’eau qui s’est tenu à Marseille en mars 2012 à l’occasion de la journée mondiale de l’eau 2012 et qu’il s’agit de l’un</w:t>
      </w:r>
      <w:r>
        <w:rPr>
          <w:bCs/>
          <w:i/>
          <w:lang w:val="fr-LU"/>
        </w:rPr>
        <w:t>e des priorités</w:t>
      </w:r>
      <w:r w:rsidRPr="00100B0E">
        <w:rPr>
          <w:bCs/>
          <w:i/>
          <w:lang w:val="fr-LU"/>
        </w:rPr>
        <w:t xml:space="preserve"> du sommet Rio+20 ;</w:t>
      </w:r>
    </w:p>
    <w:p w:rsidR="009333C7" w:rsidRPr="00100B0E" w:rsidRDefault="009333C7" w:rsidP="009333C7">
      <w:pPr>
        <w:numPr>
          <w:ilvl w:val="0"/>
          <w:numId w:val="3"/>
        </w:numPr>
        <w:spacing w:after="240"/>
        <w:ind w:right="-278" w:hanging="720"/>
        <w:jc w:val="both"/>
        <w:rPr>
          <w:bCs/>
          <w:i/>
          <w:lang w:val="fr-LU"/>
        </w:rPr>
      </w:pPr>
      <w:r w:rsidRPr="00100B0E">
        <w:rPr>
          <w:bCs/>
          <w:i/>
          <w:lang w:val="fr-LU"/>
        </w:rPr>
        <w:t>Considérant que l’Union européenne œuvre depuis de nombreuses années à l’amélioration de la qualité de l’eau et a développé un système de régulation global dans ce domaine, surtout à travers la directive-cadre sur l’eau 2000/60/CE, ainsi qu’à travers la directive 2008/105/CE établissant des normes de qualité environnementale dans le domaine de l'eau et la directive 2009/90/CE établissant des spécifications techniques pour l’analyse chimique et la surveillance de l’état des eaux, qui obligent les Etats membres de remettre toutes les ressources d’eau dans un bon état écologique ;</w:t>
      </w:r>
    </w:p>
    <w:p w:rsidR="009333C7" w:rsidRPr="00100B0E" w:rsidRDefault="009333C7" w:rsidP="009333C7">
      <w:pPr>
        <w:numPr>
          <w:ilvl w:val="0"/>
          <w:numId w:val="3"/>
        </w:numPr>
        <w:spacing w:after="240"/>
        <w:ind w:right="-278" w:hanging="720"/>
        <w:jc w:val="both"/>
        <w:rPr>
          <w:bCs/>
          <w:i/>
          <w:lang w:val="fr-LU"/>
        </w:rPr>
      </w:pPr>
      <w:r w:rsidRPr="00100B0E">
        <w:rPr>
          <w:bCs/>
          <w:i/>
          <w:lang w:val="fr-LU"/>
        </w:rPr>
        <w:t>Considérant que la transposition de la directive-cadre sur l’eau 2000/60/CE n’est pas encore finalisée, que la Commission européenne a présenté, le 31 janvier 2012, une proposition de directive modifiant les directives 2000/60/CE et 2008/105/CE en ce qui concerne les substances prioritaires pour la politique dans le domaine de l'eau et qu’elle présentera fin 2012 un « </w:t>
      </w:r>
      <w:r w:rsidRPr="00100B0E">
        <w:rPr>
          <w:rStyle w:val="Accentuation"/>
          <w:lang w:val="fr-LU"/>
        </w:rPr>
        <w:t>programme visant à sauvegarder les eaux européennes</w:t>
      </w:r>
      <w:r w:rsidRPr="00100B0E">
        <w:rPr>
          <w:bCs/>
          <w:i/>
          <w:lang w:val="fr-LU"/>
        </w:rPr>
        <w:t> », dont l’objectif est de garantir une eau de bonne qualité en quantité suffisante pour tous les usages légitimes.</w:t>
      </w:r>
    </w:p>
    <w:p w:rsidR="009333C7" w:rsidRDefault="009333C7" w:rsidP="009333C7">
      <w:pPr>
        <w:ind w:left="720" w:right="-280"/>
        <w:jc w:val="both"/>
        <w:rPr>
          <w:bCs/>
          <w:i/>
          <w:lang w:val="fr-LU"/>
        </w:rPr>
      </w:pPr>
    </w:p>
    <w:p w:rsidR="009333C7" w:rsidRPr="007B12AF" w:rsidRDefault="009333C7" w:rsidP="009333C7">
      <w:pPr>
        <w:ind w:left="720" w:right="-280"/>
        <w:jc w:val="both"/>
        <w:rPr>
          <w:bCs/>
          <w:i/>
          <w:lang w:val="fr-LU"/>
        </w:rPr>
      </w:pPr>
    </w:p>
    <w:p w:rsidR="009333C7" w:rsidRPr="008C5395" w:rsidRDefault="009333C7" w:rsidP="009333C7">
      <w:pPr>
        <w:ind w:left="-284" w:right="-280" w:firstLine="284"/>
        <w:jc w:val="both"/>
        <w:rPr>
          <w:b/>
          <w:lang w:val="fr-FR"/>
        </w:rPr>
      </w:pPr>
      <w:r w:rsidRPr="008C5395">
        <w:rPr>
          <w:b/>
          <w:lang w:val="fr-FR"/>
        </w:rPr>
        <w:t xml:space="preserve">Recommande, sur proposition de la Commission </w:t>
      </w:r>
      <w:r>
        <w:rPr>
          <w:b/>
          <w:lang w:val="fr-FR"/>
        </w:rPr>
        <w:t xml:space="preserve">4 </w:t>
      </w:r>
      <w:r w:rsidRPr="008C5395">
        <w:rPr>
          <w:b/>
          <w:lang w:val="fr-FR"/>
        </w:rPr>
        <w:t xml:space="preserve">« Environnement et Agriculture » : </w:t>
      </w:r>
    </w:p>
    <w:p w:rsidR="009333C7" w:rsidRPr="008C5395" w:rsidRDefault="009333C7" w:rsidP="009333C7">
      <w:pPr>
        <w:ind w:left="720" w:right="-280"/>
        <w:jc w:val="both"/>
        <w:rPr>
          <w:bCs/>
          <w:i/>
          <w:lang w:val="fr-FR"/>
        </w:rPr>
      </w:pPr>
    </w:p>
    <w:p w:rsidR="009333C7" w:rsidRPr="008C5395" w:rsidRDefault="009333C7" w:rsidP="009333C7">
      <w:pPr>
        <w:ind w:left="720" w:right="-280"/>
        <w:jc w:val="both"/>
        <w:rPr>
          <w:bCs/>
          <w:i/>
          <w:lang w:val="fr-LU"/>
        </w:rPr>
      </w:pPr>
    </w:p>
    <w:p w:rsidR="009333C7" w:rsidRDefault="009333C7" w:rsidP="009333C7">
      <w:pPr>
        <w:numPr>
          <w:ilvl w:val="0"/>
          <w:numId w:val="2"/>
        </w:numPr>
        <w:autoSpaceDE w:val="0"/>
        <w:autoSpaceDN w:val="0"/>
        <w:adjustRightInd w:val="0"/>
        <w:spacing w:after="240"/>
        <w:ind w:left="425" w:hanging="425"/>
        <w:jc w:val="both"/>
        <w:rPr>
          <w:lang w:val="fr-LU"/>
        </w:rPr>
      </w:pPr>
      <w:r w:rsidRPr="001D0B5E">
        <w:rPr>
          <w:lang w:val="fr-LU"/>
        </w:rPr>
        <w:t>de poursuivre les efforts pour améliorer la politique de potabilisation de l’eau de manière à ce que la production d’eau potable continue à correspondre au normes de qualité et d’efficacité les plus élevé</w:t>
      </w:r>
      <w:r>
        <w:rPr>
          <w:lang w:val="fr-LU"/>
        </w:rPr>
        <w:t>e</w:t>
      </w:r>
      <w:r w:rsidRPr="001D0B5E">
        <w:rPr>
          <w:lang w:val="fr-LU"/>
        </w:rPr>
        <w:t xml:space="preserve">s </w:t>
      </w:r>
      <w:r>
        <w:rPr>
          <w:lang w:val="fr-LU"/>
        </w:rPr>
        <w:t>et que la politique de gestion de l’eau potable soit axée sur une utilisation de l’eau durable,</w:t>
      </w:r>
    </w:p>
    <w:p w:rsidR="009333C7" w:rsidRPr="001D0B5E" w:rsidRDefault="009333C7" w:rsidP="009333C7">
      <w:pPr>
        <w:numPr>
          <w:ilvl w:val="0"/>
          <w:numId w:val="2"/>
        </w:numPr>
        <w:autoSpaceDE w:val="0"/>
        <w:autoSpaceDN w:val="0"/>
        <w:adjustRightInd w:val="0"/>
        <w:spacing w:after="240"/>
        <w:ind w:left="425" w:hanging="425"/>
        <w:jc w:val="both"/>
        <w:rPr>
          <w:lang w:val="fr-LU"/>
        </w:rPr>
      </w:pPr>
      <w:r>
        <w:rPr>
          <w:lang w:val="fr-LU"/>
        </w:rPr>
        <w:t xml:space="preserve">de réduire la pollution des eaux et de poursuivre les efforts de surveillance de la teneur en polluants dangereux des ressources aquatiques de la Grande Région, en particulier sur base des règlementations européennes,   </w:t>
      </w:r>
      <w:r w:rsidRPr="001D0B5E">
        <w:rPr>
          <w:lang w:val="fr-LU"/>
        </w:rPr>
        <w:t xml:space="preserve"> </w:t>
      </w:r>
    </w:p>
    <w:p w:rsidR="009333C7" w:rsidRPr="00164A51" w:rsidRDefault="009333C7" w:rsidP="009333C7">
      <w:pPr>
        <w:numPr>
          <w:ilvl w:val="0"/>
          <w:numId w:val="2"/>
        </w:numPr>
        <w:autoSpaceDE w:val="0"/>
        <w:autoSpaceDN w:val="0"/>
        <w:adjustRightInd w:val="0"/>
        <w:spacing w:after="240"/>
        <w:ind w:left="425" w:hanging="425"/>
        <w:jc w:val="both"/>
        <w:rPr>
          <w:rFonts w:eastAsia="Calibri"/>
          <w:lang w:val="fr-LU" w:eastAsia="fr-LU"/>
        </w:rPr>
      </w:pPr>
      <w:r w:rsidRPr="00164A51">
        <w:rPr>
          <w:lang w:val="fr-LU"/>
        </w:rPr>
        <w:t>de réguler plus strictement le recours au</w:t>
      </w:r>
      <w:r>
        <w:rPr>
          <w:lang w:val="fr-LU"/>
        </w:rPr>
        <w:t xml:space="preserve">x engrais azotés et phosphorés, qui contribuent considérablement à l’eutrophisation des ressources aquatiques, ainsi que l’accès libre de bétail à ces ressources, qui contribue à générer une pollution aux nitrates et une pollution bactérienne supplémentaire, </w:t>
      </w:r>
    </w:p>
    <w:p w:rsidR="009333C7" w:rsidRPr="00140433" w:rsidRDefault="009333C7" w:rsidP="009333C7">
      <w:pPr>
        <w:numPr>
          <w:ilvl w:val="0"/>
          <w:numId w:val="2"/>
        </w:numPr>
        <w:spacing w:after="240"/>
        <w:ind w:left="425" w:hanging="425"/>
        <w:jc w:val="both"/>
        <w:rPr>
          <w:lang w:val="fr-LU"/>
        </w:rPr>
      </w:pPr>
      <w:r w:rsidRPr="00140433">
        <w:rPr>
          <w:lang w:val="fr-FR"/>
        </w:rPr>
        <w:lastRenderedPageBreak/>
        <w:t xml:space="preserve">de prendre en considération, dans un esprit de prévention et de prudence, d’autres nouveaux contaminants potentiellement toxiques pour l’homme et difficilement biodégradables, telles que les </w:t>
      </w:r>
      <w:proofErr w:type="spellStart"/>
      <w:r w:rsidRPr="00140433">
        <w:rPr>
          <w:lang w:val="fr-FR"/>
        </w:rPr>
        <w:t>tensides</w:t>
      </w:r>
      <w:proofErr w:type="spellEnd"/>
      <w:r w:rsidRPr="00140433">
        <w:rPr>
          <w:lang w:val="fr-FR"/>
        </w:rPr>
        <w:t xml:space="preserve"> </w:t>
      </w:r>
      <w:proofErr w:type="spellStart"/>
      <w:r w:rsidRPr="00140433">
        <w:rPr>
          <w:lang w:val="fr-FR"/>
        </w:rPr>
        <w:t>perfluorés</w:t>
      </w:r>
      <w:proofErr w:type="spellEnd"/>
      <w:r w:rsidRPr="00140433">
        <w:rPr>
          <w:lang w:val="fr-FR"/>
        </w:rPr>
        <w:t xml:space="preserve"> (PFT),</w:t>
      </w:r>
    </w:p>
    <w:p w:rsidR="009333C7" w:rsidRPr="00140433" w:rsidRDefault="009333C7" w:rsidP="009333C7">
      <w:pPr>
        <w:numPr>
          <w:ilvl w:val="0"/>
          <w:numId w:val="2"/>
        </w:numPr>
        <w:autoSpaceDE w:val="0"/>
        <w:autoSpaceDN w:val="0"/>
        <w:adjustRightInd w:val="0"/>
        <w:spacing w:after="240"/>
        <w:ind w:left="425" w:hanging="425"/>
        <w:jc w:val="both"/>
        <w:rPr>
          <w:lang w:val="fr-LU"/>
        </w:rPr>
      </w:pPr>
      <w:r w:rsidRPr="00140433">
        <w:rPr>
          <w:lang w:val="fr-LU"/>
        </w:rPr>
        <w:t xml:space="preserve">de construire et d’agrandir des stations d’épurement d’eau </w:t>
      </w:r>
      <w:r>
        <w:rPr>
          <w:lang w:val="fr-LU"/>
        </w:rPr>
        <w:t xml:space="preserve">en particulier dans les zones d’habitation denses et les zones industrielles, de manière à ce que la qualité des eaux usées reconduites dans la nature soit acceptable, </w:t>
      </w:r>
      <w:r w:rsidRPr="00140433">
        <w:rPr>
          <w:lang w:val="fr-LU"/>
        </w:rPr>
        <w:t xml:space="preserve">  </w:t>
      </w:r>
    </w:p>
    <w:p w:rsidR="009333C7" w:rsidRPr="00507C7C" w:rsidRDefault="009333C7" w:rsidP="009333C7">
      <w:pPr>
        <w:numPr>
          <w:ilvl w:val="0"/>
          <w:numId w:val="2"/>
        </w:numPr>
        <w:autoSpaceDE w:val="0"/>
        <w:autoSpaceDN w:val="0"/>
        <w:adjustRightInd w:val="0"/>
        <w:spacing w:after="240"/>
        <w:ind w:left="425" w:hanging="425"/>
        <w:jc w:val="both"/>
        <w:rPr>
          <w:rFonts w:eastAsia="Calibri"/>
          <w:lang w:val="fr-LU" w:eastAsia="fr-LU"/>
        </w:rPr>
      </w:pPr>
      <w:r w:rsidRPr="00507C7C">
        <w:rPr>
          <w:lang w:val="fr-LU"/>
        </w:rPr>
        <w:t>de charger les autorités compétentes de la mission de continuer à investir dans des mécanismes de production d’eau potable modernes ainsi que dans l’entretien</w:t>
      </w:r>
      <w:r>
        <w:rPr>
          <w:lang w:val="fr-LU"/>
        </w:rPr>
        <w:t xml:space="preserve"> des réseaux de distribution de l’eau potable, mais d’éviter des investissements inutiles qui augmentent les coûts de revient sans véritable valeur ajoutée sur le plan qualitatif,  </w:t>
      </w:r>
      <w:r w:rsidRPr="00507C7C">
        <w:rPr>
          <w:lang w:val="fr-LU"/>
        </w:rPr>
        <w:t xml:space="preserve"> </w:t>
      </w:r>
    </w:p>
    <w:p w:rsidR="009333C7" w:rsidRDefault="009333C7" w:rsidP="009333C7">
      <w:pPr>
        <w:numPr>
          <w:ilvl w:val="0"/>
          <w:numId w:val="2"/>
        </w:numPr>
        <w:autoSpaceDE w:val="0"/>
        <w:autoSpaceDN w:val="0"/>
        <w:adjustRightInd w:val="0"/>
        <w:spacing w:after="240"/>
        <w:ind w:left="425" w:hanging="425"/>
        <w:jc w:val="both"/>
        <w:rPr>
          <w:lang w:val="fr-LU"/>
        </w:rPr>
      </w:pPr>
      <w:r w:rsidRPr="00EF38D4">
        <w:rPr>
          <w:lang w:val="fr-LU"/>
        </w:rPr>
        <w:t xml:space="preserve">de favoriser la responsabilisation des consommateurs d’eau et d’établir le principe d’une Grande Région </w:t>
      </w:r>
      <w:r w:rsidRPr="00837FD6">
        <w:rPr>
          <w:lang w:val="fr-LU"/>
        </w:rPr>
        <w:t>efficace dans l’utilisation des ressources</w:t>
      </w:r>
      <w:r>
        <w:rPr>
          <w:lang w:val="fr-LU"/>
        </w:rPr>
        <w:t>,</w:t>
      </w:r>
    </w:p>
    <w:p w:rsidR="009333C7" w:rsidRDefault="009333C7" w:rsidP="009333C7">
      <w:pPr>
        <w:numPr>
          <w:ilvl w:val="0"/>
          <w:numId w:val="2"/>
        </w:numPr>
        <w:autoSpaceDE w:val="0"/>
        <w:autoSpaceDN w:val="0"/>
        <w:adjustRightInd w:val="0"/>
        <w:spacing w:after="240"/>
        <w:ind w:left="425" w:hanging="425"/>
        <w:jc w:val="both"/>
        <w:rPr>
          <w:lang w:val="fr-LU"/>
        </w:rPr>
      </w:pPr>
      <w:r>
        <w:rPr>
          <w:lang w:val="fr-LU"/>
        </w:rPr>
        <w:t xml:space="preserve">de porter l’efficacité de la gestion de l’eau potable à un niveau plus élevé à travers l’introduction de mesures visant à réaliser des économies d’eau et la réduction progressive de fuites dans les réseaux de distribution d’eau, dans les ménages privés, les entreprises et les bâtiments publics, </w:t>
      </w:r>
    </w:p>
    <w:p w:rsidR="009333C7" w:rsidRPr="001B27ED" w:rsidRDefault="009333C7" w:rsidP="009333C7">
      <w:pPr>
        <w:numPr>
          <w:ilvl w:val="0"/>
          <w:numId w:val="2"/>
        </w:numPr>
        <w:autoSpaceDE w:val="0"/>
        <w:autoSpaceDN w:val="0"/>
        <w:adjustRightInd w:val="0"/>
        <w:spacing w:after="240"/>
        <w:ind w:left="425" w:hanging="425"/>
        <w:jc w:val="both"/>
        <w:rPr>
          <w:lang w:val="fr-LU"/>
        </w:rPr>
      </w:pPr>
      <w:r w:rsidRPr="001B27ED">
        <w:rPr>
          <w:rFonts w:eastAsia="Calibri"/>
          <w:lang w:val="fr-LU" w:eastAsia="fr-LU"/>
        </w:rPr>
        <w:t xml:space="preserve">de mener une politique saine de gestion des sols, de continuer à </w:t>
      </w:r>
      <w:proofErr w:type="spellStart"/>
      <w:r w:rsidRPr="001B27ED">
        <w:rPr>
          <w:rFonts w:eastAsia="Calibri"/>
          <w:lang w:val="fr-LU" w:eastAsia="fr-LU"/>
        </w:rPr>
        <w:t>renaturer</w:t>
      </w:r>
      <w:proofErr w:type="spellEnd"/>
      <w:r w:rsidRPr="001B27ED">
        <w:rPr>
          <w:rFonts w:eastAsia="Calibri"/>
          <w:lang w:val="fr-LU" w:eastAsia="fr-LU"/>
        </w:rPr>
        <w:t xml:space="preserve"> les cours d’eau et d’éviter des interventions humaines risquées dans les zones de sauvegarde pour le captage d'eau potable</w:t>
      </w:r>
      <w:r>
        <w:rPr>
          <w:rFonts w:eastAsia="Calibri"/>
          <w:lang w:val="fr-LU" w:eastAsia="fr-LU"/>
        </w:rPr>
        <w:t xml:space="preserve">, telles que les forages géothermiques en raison du risque de fuites dans les systèmes de chauffage et de pollution des eaux souterraines qui en découle, </w:t>
      </w:r>
    </w:p>
    <w:p w:rsidR="009333C7" w:rsidRPr="00F415C3" w:rsidRDefault="009333C7" w:rsidP="009333C7">
      <w:pPr>
        <w:numPr>
          <w:ilvl w:val="0"/>
          <w:numId w:val="2"/>
        </w:numPr>
        <w:autoSpaceDE w:val="0"/>
        <w:autoSpaceDN w:val="0"/>
        <w:adjustRightInd w:val="0"/>
        <w:spacing w:after="240"/>
        <w:ind w:left="425" w:hanging="425"/>
        <w:jc w:val="both"/>
        <w:rPr>
          <w:lang w:val="fr-LU"/>
        </w:rPr>
      </w:pPr>
      <w:r w:rsidRPr="00F415C3">
        <w:rPr>
          <w:lang w:val="fr-LU"/>
        </w:rPr>
        <w:t xml:space="preserve">d’encourager les institutions européennes dans le contexte de la réforme de la politique agricole de l’UE pour les années 2014-2020 à lier les subventions agricoles à des mesures d’économie d’eau, afin de favoriser une culture d’économie d’eau </w:t>
      </w:r>
      <w:r>
        <w:rPr>
          <w:lang w:val="fr-LU"/>
        </w:rPr>
        <w:t xml:space="preserve">cohérente, </w:t>
      </w:r>
    </w:p>
    <w:p w:rsidR="009333C7" w:rsidRPr="00F3266E" w:rsidRDefault="009333C7" w:rsidP="009333C7">
      <w:pPr>
        <w:numPr>
          <w:ilvl w:val="0"/>
          <w:numId w:val="2"/>
        </w:numPr>
        <w:autoSpaceDE w:val="0"/>
        <w:autoSpaceDN w:val="0"/>
        <w:adjustRightInd w:val="0"/>
        <w:spacing w:after="240"/>
        <w:ind w:left="425" w:hanging="425"/>
        <w:jc w:val="both"/>
        <w:rPr>
          <w:lang w:val="fr-LU"/>
        </w:rPr>
      </w:pPr>
      <w:r>
        <w:rPr>
          <w:lang w:val="fr-LU"/>
        </w:rPr>
        <w:t>dans un contexte où le prix de l’eau augmente</w:t>
      </w:r>
      <w:r w:rsidRPr="000E5909">
        <w:rPr>
          <w:lang w:val="fr-LU"/>
        </w:rPr>
        <w:t xml:space="preserve"> </w:t>
      </w:r>
      <w:r>
        <w:rPr>
          <w:lang w:val="fr-LU"/>
        </w:rPr>
        <w:t xml:space="preserve">et dans la mesure où la gestion de l’eau potable n’est durable que si elle est socialement juste, </w:t>
      </w:r>
      <w:r w:rsidRPr="00F3266E">
        <w:rPr>
          <w:lang w:val="fr-LU"/>
        </w:rPr>
        <w:t xml:space="preserve">les autorités compétentes entreprennent les </w:t>
      </w:r>
      <w:r>
        <w:rPr>
          <w:lang w:val="fr-LU"/>
        </w:rPr>
        <w:t xml:space="preserve">démarches </w:t>
      </w:r>
      <w:r w:rsidRPr="00F3266E">
        <w:rPr>
          <w:lang w:val="fr-LU"/>
        </w:rPr>
        <w:t>nécessaires</w:t>
      </w:r>
      <w:r>
        <w:rPr>
          <w:lang w:val="fr-LU"/>
        </w:rPr>
        <w:t xml:space="preserve">, dans le respect de la règlementation européenne, afin que tous les citoyens puissent continuer à faire valoir leur droit à l’eau,  </w:t>
      </w:r>
    </w:p>
    <w:p w:rsidR="009333C7" w:rsidRDefault="009333C7" w:rsidP="009333C7">
      <w:pPr>
        <w:numPr>
          <w:ilvl w:val="0"/>
          <w:numId w:val="2"/>
        </w:numPr>
        <w:autoSpaceDE w:val="0"/>
        <w:autoSpaceDN w:val="0"/>
        <w:adjustRightInd w:val="0"/>
        <w:spacing w:after="240"/>
        <w:ind w:left="425" w:hanging="425"/>
        <w:jc w:val="both"/>
        <w:rPr>
          <w:rFonts w:eastAsia="Calibri"/>
          <w:lang w:val="fr-LU" w:eastAsia="fr-LU"/>
        </w:rPr>
      </w:pPr>
      <w:r w:rsidRPr="000E5909">
        <w:rPr>
          <w:rFonts w:eastAsia="Calibri"/>
          <w:lang w:val="fr-LU" w:eastAsia="fr-LU"/>
        </w:rPr>
        <w:t xml:space="preserve">que les objectifs de la directive-cadre sur l’eau </w:t>
      </w:r>
      <w:r>
        <w:rPr>
          <w:rFonts w:eastAsia="Calibri"/>
          <w:lang w:val="fr-LU" w:eastAsia="fr-LU"/>
        </w:rPr>
        <w:t xml:space="preserve">visant à rétablir le « bon état » de tous les eaux de surface et des eaux souterraines d’ici 2015 soient atteints à temps dans l’ensemble de la Grande Région et de mettre en place des plans de gestion des zones d’eau de manière à garantir le bon état chimique et le potentiel écologique de toutes les masses d’eau, </w:t>
      </w:r>
    </w:p>
    <w:p w:rsidR="009333C7" w:rsidRPr="00F770C5" w:rsidRDefault="009333C7" w:rsidP="009333C7">
      <w:pPr>
        <w:numPr>
          <w:ilvl w:val="0"/>
          <w:numId w:val="2"/>
        </w:numPr>
        <w:autoSpaceDE w:val="0"/>
        <w:autoSpaceDN w:val="0"/>
        <w:adjustRightInd w:val="0"/>
        <w:spacing w:after="240"/>
        <w:ind w:left="425" w:hanging="425"/>
        <w:jc w:val="both"/>
        <w:rPr>
          <w:rFonts w:eastAsia="Calibri"/>
          <w:lang w:val="fr-LU" w:eastAsia="fr-LU"/>
        </w:rPr>
      </w:pPr>
      <w:r w:rsidRPr="00F770C5">
        <w:rPr>
          <w:rFonts w:eastAsia="Calibri"/>
          <w:lang w:val="fr-LU" w:eastAsia="fr-LU"/>
        </w:rPr>
        <w:t xml:space="preserve">de renforcer l’échange d’informations et l’obligation de signalement transfrontalier de pollutions d’eau entre les autorités compétentes de la Grande Région et d’inclure </w:t>
      </w:r>
      <w:r>
        <w:rPr>
          <w:rFonts w:eastAsia="Calibri"/>
          <w:lang w:val="fr-LU" w:eastAsia="fr-LU"/>
        </w:rPr>
        <w:t xml:space="preserve">à cet égard les régions et les Etats avoisinants dans les processus de consultation au sujet de la politique de gestion de l’eau, ainsi que d’étendre la participation des citoyens à l’échelle de la Grande Région, </w:t>
      </w:r>
    </w:p>
    <w:p w:rsidR="009333C7" w:rsidRPr="00F770C5" w:rsidRDefault="009333C7" w:rsidP="009333C7">
      <w:pPr>
        <w:numPr>
          <w:ilvl w:val="0"/>
          <w:numId w:val="2"/>
        </w:numPr>
        <w:autoSpaceDE w:val="0"/>
        <w:autoSpaceDN w:val="0"/>
        <w:adjustRightInd w:val="0"/>
        <w:spacing w:after="240"/>
        <w:ind w:left="425" w:hanging="425"/>
        <w:jc w:val="both"/>
        <w:rPr>
          <w:bCs/>
          <w:lang w:val="fr-LU"/>
        </w:rPr>
      </w:pPr>
      <w:r w:rsidRPr="00F770C5">
        <w:rPr>
          <w:bCs/>
          <w:lang w:val="fr-LU"/>
        </w:rPr>
        <w:t>de s’assurer que toutes les autorités compétentes au</w:t>
      </w:r>
      <w:r>
        <w:rPr>
          <w:bCs/>
          <w:lang w:val="fr-LU"/>
        </w:rPr>
        <w:t>x</w:t>
      </w:r>
      <w:r w:rsidRPr="00F770C5">
        <w:rPr>
          <w:bCs/>
          <w:lang w:val="fr-LU"/>
        </w:rPr>
        <w:t xml:space="preserve"> niveaux européen, national et </w:t>
      </w:r>
      <w:r>
        <w:rPr>
          <w:bCs/>
          <w:lang w:val="fr-LU"/>
        </w:rPr>
        <w:t xml:space="preserve">régional coopèrent efficacement et que les acteurs responsables de champs politiques différents, mais interdépendants se coordonnent plus efficacement à tous les niveaux, notamment entre les domaines de l’environnement, de l’agriculture et de l’économie,    </w:t>
      </w:r>
      <w:r w:rsidRPr="00F770C5">
        <w:rPr>
          <w:bCs/>
          <w:lang w:val="fr-LU"/>
        </w:rPr>
        <w:t xml:space="preserve"> </w:t>
      </w:r>
    </w:p>
    <w:p w:rsidR="009333C7" w:rsidRDefault="009333C7" w:rsidP="009333C7">
      <w:pPr>
        <w:numPr>
          <w:ilvl w:val="0"/>
          <w:numId w:val="2"/>
        </w:numPr>
        <w:autoSpaceDE w:val="0"/>
        <w:autoSpaceDN w:val="0"/>
        <w:adjustRightInd w:val="0"/>
        <w:spacing w:after="240"/>
        <w:ind w:left="425" w:hanging="425"/>
        <w:jc w:val="both"/>
        <w:rPr>
          <w:lang w:val="fr-LU"/>
        </w:rPr>
      </w:pPr>
      <w:r w:rsidRPr="00576453">
        <w:rPr>
          <w:lang w:val="fr-LU"/>
        </w:rPr>
        <w:t>d’é</w:t>
      </w:r>
      <w:r>
        <w:rPr>
          <w:lang w:val="fr-LU"/>
        </w:rPr>
        <w:t>tendre la réglementation de</w:t>
      </w:r>
      <w:r w:rsidRPr="00576453">
        <w:rPr>
          <w:lang w:val="fr-LU"/>
        </w:rPr>
        <w:t xml:space="preserve"> substances potentiellement </w:t>
      </w:r>
      <w:r>
        <w:rPr>
          <w:lang w:val="fr-LU"/>
        </w:rPr>
        <w:t xml:space="preserve">toxiques et de soutenir la Commission européenne dans sa proposition de </w:t>
      </w:r>
      <w:r w:rsidRPr="0018022C">
        <w:rPr>
          <w:lang w:val="fr-LU"/>
        </w:rPr>
        <w:t xml:space="preserve">directive modifiant les directives 2000/60/CE et 2008/105/CE en ce qui concerne les substances prioritaires pour la </w:t>
      </w:r>
      <w:r w:rsidRPr="0018022C">
        <w:rPr>
          <w:lang w:val="fr-LU"/>
        </w:rPr>
        <w:lastRenderedPageBreak/>
        <w:t>politique dans le domaine de l'eau</w:t>
      </w:r>
      <w:r>
        <w:rPr>
          <w:lang w:val="fr-LU"/>
        </w:rPr>
        <w:t xml:space="preserve"> (31/01/</w:t>
      </w:r>
      <w:r w:rsidRPr="0018022C">
        <w:rPr>
          <w:lang w:val="fr-LU"/>
        </w:rPr>
        <w:t>2012)</w:t>
      </w:r>
      <w:r>
        <w:rPr>
          <w:lang w:val="fr-LU"/>
        </w:rPr>
        <w:t xml:space="preserve"> qui vise à interdire de nouveaux produits chimiques et pharmaceutiques qui n’émanent pas seulement de la production industrielle, mais p.ex. également des ménages ou de produits détergents, de manière à ce que les dangers qui en découlent pour les êtres humains, l’environnement, les animaux aquatiques et, en particulier, les ressources d’eau potable soient continuellement réduits.</w:t>
      </w:r>
    </w:p>
    <w:p w:rsidR="009333C7" w:rsidRDefault="009333C7" w:rsidP="009333C7">
      <w:pPr>
        <w:autoSpaceDE w:val="0"/>
        <w:autoSpaceDN w:val="0"/>
        <w:adjustRightInd w:val="0"/>
        <w:spacing w:after="240"/>
        <w:ind w:left="425"/>
        <w:jc w:val="both"/>
        <w:rPr>
          <w:lang w:val="fr-LU"/>
        </w:rPr>
      </w:pPr>
    </w:p>
    <w:p w:rsidR="009333C7" w:rsidRPr="00576453" w:rsidRDefault="009333C7" w:rsidP="009333C7">
      <w:pPr>
        <w:autoSpaceDE w:val="0"/>
        <w:autoSpaceDN w:val="0"/>
        <w:adjustRightInd w:val="0"/>
        <w:spacing w:after="240"/>
        <w:ind w:left="425"/>
        <w:jc w:val="both"/>
        <w:rPr>
          <w:lang w:val="fr-LU"/>
        </w:rPr>
      </w:pPr>
    </w:p>
    <w:p w:rsidR="009333C7" w:rsidRDefault="009333C7" w:rsidP="009333C7">
      <w:pPr>
        <w:spacing w:line="360" w:lineRule="auto"/>
        <w:rPr>
          <w:lang w:val="fr-FR"/>
        </w:rPr>
      </w:pPr>
      <w:r w:rsidRPr="006E519D">
        <w:rPr>
          <w:lang w:val="fr-FR"/>
        </w:rPr>
        <w:t>Le Conseil Parlementaire Interrégiona</w:t>
      </w:r>
      <w:r>
        <w:rPr>
          <w:lang w:val="fr-FR"/>
        </w:rPr>
        <w:t>l adresse cette recommandation</w:t>
      </w:r>
    </w:p>
    <w:p w:rsidR="009333C7" w:rsidRDefault="009333C7" w:rsidP="009333C7">
      <w:pPr>
        <w:spacing w:line="360" w:lineRule="auto"/>
        <w:rPr>
          <w:lang w:val="fr-FR"/>
        </w:rPr>
      </w:pPr>
    </w:p>
    <w:p w:rsidR="009333C7" w:rsidRDefault="009333C7" w:rsidP="009333C7">
      <w:pPr>
        <w:numPr>
          <w:ilvl w:val="0"/>
          <w:numId w:val="1"/>
        </w:numPr>
        <w:spacing w:line="360" w:lineRule="auto"/>
        <w:rPr>
          <w:lang w:val="fr-LU"/>
        </w:rPr>
      </w:pPr>
      <w:r w:rsidRPr="007F48CF">
        <w:rPr>
          <w:lang w:val="fr-FR"/>
        </w:rPr>
        <w:t>au Conseil Régional de Lorraine</w:t>
      </w:r>
    </w:p>
    <w:p w:rsidR="009333C7" w:rsidRDefault="009333C7" w:rsidP="009333C7">
      <w:pPr>
        <w:numPr>
          <w:ilvl w:val="0"/>
          <w:numId w:val="1"/>
        </w:numPr>
        <w:spacing w:line="360" w:lineRule="auto"/>
        <w:rPr>
          <w:lang w:val="fr-LU"/>
        </w:rPr>
      </w:pPr>
      <w:r w:rsidRPr="007F48CF">
        <w:rPr>
          <w:lang w:val="fr-FR"/>
        </w:rPr>
        <w:t xml:space="preserve">au Gouvernement de la Communauté Germanophone de </w:t>
      </w:r>
      <w:r>
        <w:rPr>
          <w:lang w:val="fr-FR"/>
        </w:rPr>
        <w:t>Belgique</w:t>
      </w:r>
    </w:p>
    <w:p w:rsidR="009333C7" w:rsidRDefault="009333C7" w:rsidP="009333C7">
      <w:pPr>
        <w:numPr>
          <w:ilvl w:val="0"/>
          <w:numId w:val="1"/>
        </w:numPr>
        <w:spacing w:line="360" w:lineRule="auto"/>
        <w:rPr>
          <w:lang w:val="fr-LU"/>
        </w:rPr>
      </w:pPr>
      <w:r w:rsidRPr="007F48CF">
        <w:rPr>
          <w:lang w:val="fr-FR"/>
        </w:rPr>
        <w:t>au Gouvernement de la Fédération Bruxelles-Wallonie</w:t>
      </w:r>
    </w:p>
    <w:p w:rsidR="009333C7" w:rsidRDefault="009333C7" w:rsidP="009333C7">
      <w:pPr>
        <w:numPr>
          <w:ilvl w:val="0"/>
          <w:numId w:val="1"/>
        </w:numPr>
        <w:spacing w:line="360" w:lineRule="auto"/>
        <w:rPr>
          <w:lang w:val="fr-LU"/>
        </w:rPr>
      </w:pPr>
      <w:r w:rsidRPr="007F48CF">
        <w:rPr>
          <w:lang w:val="fr-FR"/>
        </w:rPr>
        <w:t>au Gouvernement de la Wallonie</w:t>
      </w:r>
    </w:p>
    <w:p w:rsidR="009333C7" w:rsidRDefault="009333C7" w:rsidP="009333C7">
      <w:pPr>
        <w:numPr>
          <w:ilvl w:val="0"/>
          <w:numId w:val="1"/>
        </w:numPr>
        <w:spacing w:line="360" w:lineRule="auto"/>
        <w:rPr>
          <w:lang w:val="fr-LU"/>
        </w:rPr>
      </w:pPr>
      <w:r w:rsidRPr="007F48CF">
        <w:rPr>
          <w:lang w:val="fr-FR"/>
        </w:rPr>
        <w:t xml:space="preserve">au Gouvernement du Grand Duché de </w:t>
      </w:r>
      <w:r>
        <w:rPr>
          <w:lang w:val="fr-FR"/>
        </w:rPr>
        <w:t>Luxembourg</w:t>
      </w:r>
    </w:p>
    <w:p w:rsidR="009333C7" w:rsidRDefault="009333C7" w:rsidP="009333C7">
      <w:pPr>
        <w:numPr>
          <w:ilvl w:val="0"/>
          <w:numId w:val="1"/>
        </w:numPr>
        <w:spacing w:line="360" w:lineRule="auto"/>
        <w:rPr>
          <w:lang w:val="fr-LU"/>
        </w:rPr>
      </w:pPr>
      <w:r w:rsidRPr="007F48CF">
        <w:rPr>
          <w:lang w:val="fr-FR"/>
        </w:rPr>
        <w:t>au Gouvernement du Land de Rhénanie-Palatinat</w:t>
      </w:r>
    </w:p>
    <w:p w:rsidR="009333C7" w:rsidRPr="007F48CF" w:rsidRDefault="009333C7" w:rsidP="009333C7">
      <w:pPr>
        <w:numPr>
          <w:ilvl w:val="0"/>
          <w:numId w:val="1"/>
        </w:numPr>
        <w:spacing w:line="360" w:lineRule="auto"/>
        <w:rPr>
          <w:lang w:val="fr-LU"/>
        </w:rPr>
      </w:pPr>
      <w:r w:rsidRPr="007F48CF">
        <w:rPr>
          <w:lang w:val="fr-FR"/>
        </w:rPr>
        <w:t>au Gouvernement du Land de Sarre</w:t>
      </w:r>
    </w:p>
    <w:p w:rsidR="009333C7" w:rsidRPr="006E519D" w:rsidRDefault="009333C7" w:rsidP="009333C7">
      <w:pPr>
        <w:spacing w:line="360" w:lineRule="auto"/>
        <w:rPr>
          <w:lang w:val="fr-FR"/>
        </w:rPr>
      </w:pPr>
    </w:p>
    <w:p w:rsidR="009333C7" w:rsidRDefault="009333C7" w:rsidP="009333C7">
      <w:pPr>
        <w:spacing w:line="360" w:lineRule="auto"/>
        <w:rPr>
          <w:lang w:val="fr-FR"/>
        </w:rPr>
      </w:pPr>
      <w:r>
        <w:rPr>
          <w:lang w:val="fr-FR"/>
        </w:rPr>
        <w:t>et également</w:t>
      </w:r>
    </w:p>
    <w:p w:rsidR="009333C7" w:rsidRPr="006E519D" w:rsidRDefault="009333C7" w:rsidP="009333C7">
      <w:pPr>
        <w:spacing w:line="360" w:lineRule="auto"/>
        <w:rPr>
          <w:lang w:val="fr-FR"/>
        </w:rPr>
      </w:pPr>
    </w:p>
    <w:p w:rsidR="009333C7" w:rsidRDefault="009333C7" w:rsidP="009333C7">
      <w:pPr>
        <w:numPr>
          <w:ilvl w:val="0"/>
          <w:numId w:val="1"/>
        </w:numPr>
        <w:spacing w:line="360" w:lineRule="auto"/>
        <w:rPr>
          <w:lang w:val="fr-LU"/>
        </w:rPr>
      </w:pPr>
      <w:r w:rsidRPr="007F48CF">
        <w:rPr>
          <w:lang w:val="fr-FR"/>
        </w:rPr>
        <w:t>au Gouvernement de la République fédérale d’</w:t>
      </w:r>
      <w:r>
        <w:rPr>
          <w:lang w:val="fr-FR"/>
        </w:rPr>
        <w:t>Allemagne</w:t>
      </w:r>
    </w:p>
    <w:p w:rsidR="009333C7" w:rsidRDefault="009333C7" w:rsidP="009333C7">
      <w:pPr>
        <w:numPr>
          <w:ilvl w:val="0"/>
          <w:numId w:val="1"/>
        </w:numPr>
        <w:spacing w:line="360" w:lineRule="auto"/>
        <w:rPr>
          <w:lang w:val="fr-LU"/>
        </w:rPr>
      </w:pPr>
      <w:r w:rsidRPr="007F48CF">
        <w:rPr>
          <w:lang w:val="fr-FR"/>
        </w:rPr>
        <w:t>au Gouvernement de la République française</w:t>
      </w:r>
    </w:p>
    <w:p w:rsidR="009333C7" w:rsidRDefault="009333C7" w:rsidP="009333C7">
      <w:pPr>
        <w:numPr>
          <w:ilvl w:val="0"/>
          <w:numId w:val="1"/>
        </w:numPr>
        <w:spacing w:line="360" w:lineRule="auto"/>
        <w:rPr>
          <w:lang w:val="fr-LU"/>
        </w:rPr>
      </w:pPr>
      <w:r w:rsidRPr="007F48CF">
        <w:rPr>
          <w:lang w:val="fr-FR"/>
        </w:rPr>
        <w:t>au Gouvernement du Royaume de Belgique</w:t>
      </w:r>
    </w:p>
    <w:p w:rsidR="009333C7" w:rsidRPr="007F48CF" w:rsidRDefault="009333C7" w:rsidP="009333C7">
      <w:pPr>
        <w:numPr>
          <w:ilvl w:val="0"/>
          <w:numId w:val="1"/>
        </w:numPr>
        <w:spacing w:line="360" w:lineRule="auto"/>
        <w:rPr>
          <w:lang w:val="fr-LU"/>
        </w:rPr>
      </w:pPr>
      <w:r w:rsidRPr="007F48CF">
        <w:rPr>
          <w:lang w:val="fr-FR"/>
        </w:rPr>
        <w:t>à la Commission européenne</w:t>
      </w:r>
      <w:r w:rsidRPr="007F48CF">
        <w:rPr>
          <w:lang w:val="fr-FR"/>
        </w:rPr>
        <w:tab/>
      </w:r>
    </w:p>
    <w:p w:rsidR="009333C7" w:rsidRDefault="009333C7" w:rsidP="009333C7">
      <w:pPr>
        <w:numPr>
          <w:ilvl w:val="0"/>
          <w:numId w:val="1"/>
        </w:numPr>
        <w:spacing w:line="360" w:lineRule="auto"/>
        <w:rPr>
          <w:lang w:val="fr-LU"/>
        </w:rPr>
      </w:pPr>
      <w:r w:rsidRPr="007F48CF">
        <w:rPr>
          <w:lang w:val="fr-FR"/>
        </w:rPr>
        <w:t>au Parlement européen</w:t>
      </w:r>
    </w:p>
    <w:p w:rsidR="009333C7" w:rsidRPr="007F48CF" w:rsidRDefault="009333C7" w:rsidP="009333C7">
      <w:pPr>
        <w:numPr>
          <w:ilvl w:val="0"/>
          <w:numId w:val="1"/>
        </w:numPr>
        <w:spacing w:line="360" w:lineRule="auto"/>
        <w:rPr>
          <w:lang w:val="fr-LU"/>
        </w:rPr>
      </w:pPr>
      <w:r w:rsidRPr="007F48CF">
        <w:rPr>
          <w:lang w:val="fr-FR"/>
        </w:rPr>
        <w:t>aux membres du Parlement européen de la Grande Région</w:t>
      </w:r>
    </w:p>
    <w:p w:rsidR="009333C7" w:rsidRPr="006E519D" w:rsidRDefault="009333C7" w:rsidP="009333C7">
      <w:pPr>
        <w:spacing w:line="360" w:lineRule="auto"/>
        <w:rPr>
          <w:lang w:val="fr-LU"/>
        </w:rPr>
      </w:pPr>
    </w:p>
    <w:p w:rsidR="009333C7" w:rsidRPr="001D31AA" w:rsidRDefault="009333C7" w:rsidP="009333C7">
      <w:pPr>
        <w:spacing w:line="360" w:lineRule="auto"/>
        <w:ind w:left="4956" w:right="-1985" w:firstLine="708"/>
        <w:jc w:val="both"/>
        <w:rPr>
          <w:lang w:val="fr-LU"/>
        </w:rPr>
      </w:pPr>
      <w:r w:rsidRPr="000C2253">
        <w:rPr>
          <w:lang w:val="fr-LU"/>
        </w:rPr>
        <w:t>Metz, le</w:t>
      </w:r>
      <w:r>
        <w:rPr>
          <w:lang w:val="fr-LU"/>
        </w:rPr>
        <w:t xml:space="preserve"> 1</w:t>
      </w:r>
      <w:r w:rsidRPr="007F48CF">
        <w:rPr>
          <w:vertAlign w:val="superscript"/>
          <w:lang w:val="fr-LU"/>
        </w:rPr>
        <w:t>er</w:t>
      </w:r>
      <w:r>
        <w:rPr>
          <w:lang w:val="fr-LU"/>
        </w:rPr>
        <w:t xml:space="preserve"> </w:t>
      </w:r>
      <w:r w:rsidRPr="000C2253">
        <w:rPr>
          <w:lang w:val="fr-LU"/>
        </w:rPr>
        <w:t>juin</w:t>
      </w:r>
      <w:r>
        <w:rPr>
          <w:lang w:val="fr-LU"/>
        </w:rPr>
        <w:t xml:space="preserve"> 2012</w:t>
      </w:r>
    </w:p>
    <w:p w:rsidR="009333C7" w:rsidRDefault="009333C7">
      <w:pPr>
        <w:spacing w:after="200" w:line="276" w:lineRule="auto"/>
      </w:pPr>
      <w:bookmarkStart w:id="0" w:name="_GoBack"/>
      <w:bookmarkEnd w:id="0"/>
    </w:p>
    <w:sectPr w:rsidR="009333C7" w:rsidSect="006F614E">
      <w:headerReference w:type="even" r:id="rId9"/>
      <w:footerReference w:type="default" r:id="rId10"/>
      <w:footerReference w:type="first" r:id="rId11"/>
      <w:pgSz w:w="11906" w:h="16838" w:code="9"/>
      <w:pgMar w:top="799" w:right="1418" w:bottom="1134" w:left="1418" w:header="720" w:footer="69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6C" w:rsidRDefault="003A0FDA">
      <w:r>
        <w:separator/>
      </w:r>
    </w:p>
  </w:endnote>
  <w:endnote w:type="continuationSeparator" w:id="0">
    <w:p w:rsidR="00E75D6C" w:rsidRDefault="003A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4E" w:rsidRDefault="009333C7">
    <w:pPr>
      <w:pStyle w:val="Pieddepage"/>
    </w:pPr>
    <w:r>
      <w:rPr>
        <w:noProof/>
        <w:lang w:val="fr-FR" w:eastAsia="fr-F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6F614E" w:rsidRDefault="009333C7">
                            <w:pPr>
                              <w:pStyle w:val="Pieddepage"/>
                              <w:jc w:val="center"/>
                              <w:rPr>
                                <w:sz w:val="16"/>
                                <w:szCs w:val="16"/>
                              </w:rPr>
                            </w:pPr>
                            <w:r>
                              <w:fldChar w:fldCharType="begin"/>
                            </w:r>
                            <w:r>
                              <w:instrText xml:space="preserve"> PAGE    \* MERGEFORMAT </w:instrText>
                            </w:r>
                            <w:r>
                              <w:fldChar w:fldCharType="separate"/>
                            </w:r>
                            <w:r w:rsidR="001121BB" w:rsidRPr="001121BB">
                              <w:rPr>
                                <w:noProof/>
                                <w:sz w:val="16"/>
                                <w:szCs w:val="16"/>
                              </w:rPr>
                              <w:t>4</w:t>
                            </w:r>
                            <w: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5"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QXnyDmQDAAAc&#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S7ecMAAADaAAAADwAAAGRycy9kb3ducmV2LnhtbESPQWuDQBSE74H8h+UFeotrCzXFuoZS&#10;KHgpJTHp+eG+qon7VtyN2vz6bKGQ4zAz3zDZdjadGGlwrWUFj1EMgriyuuVawaH8WL+AcB5ZY2eZ&#10;FPySg22+XGSYajvxjsa9r0WAsEtRQeN9n0rpqoYMusj2xMH7sYNBH+RQSz3gFOCmk09xnEiDLYeF&#10;Bnt6b6g67y9GwXOxMSdXlLurl+Xn99h99ZejVOphNb+9gvA0+3v4v11oBQn8XQk3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Uu3nDAAAA2gAAAA8AAAAAAAAAAAAA&#10;AAAAoQIAAGRycy9kb3ducmV2LnhtbFBLBQYAAAAABAAEAPkAAACRAwAAAAA=&#10;" strokecolor="#7f7f7f"/>
              <v:rect id="Rectangle 3"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5l8UA&#10;AADaAAAADwAAAGRycy9kb3ducmV2LnhtbESPQWvCQBSE7wX/w/KE3urGHmxNXUVihUIvVkXb2yP7&#10;mo3Jvg3ZbRL/fbcg9DjMzDfMYjXYWnTU+tKxgukkAUGcO11yoeB42D48g/ABWWPtmBRcycNqObpb&#10;YKpdzx/U7UMhIoR9igpMCE0qpc8NWfQT1xBH79u1FkOUbSF1i32E21o+JslMWiw5LhhsKDOUV/sf&#10;q6Aym8vre3XNPvnUZedd6Odf551S9+Nh/QIi0BD+w7f2m1bwBH9X4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rmXxQAAANoAAAAPAAAAAAAAAAAAAAAAAJgCAABkcnMv&#10;ZG93bnJldi54bWxQSwUGAAAAAAQABAD1AAAAigMAAAAA&#10;" filled="f" strokecolor="#7f7f7f">
                <v:textbox>
                  <w:txbxContent>
                    <w:p w:rsidR="006F614E" w:rsidRDefault="009333C7">
                      <w:pPr>
                        <w:pStyle w:val="Pieddepage"/>
                        <w:jc w:val="center"/>
                        <w:rPr>
                          <w:sz w:val="16"/>
                          <w:szCs w:val="16"/>
                        </w:rPr>
                      </w:pPr>
                      <w:r>
                        <w:fldChar w:fldCharType="begin"/>
                      </w:r>
                      <w:r>
                        <w:instrText xml:space="preserve"> PAGE    \* MERGEFORMAT </w:instrText>
                      </w:r>
                      <w:r>
                        <w:fldChar w:fldCharType="separate"/>
                      </w:r>
                      <w:r w:rsidR="001121BB" w:rsidRPr="001121BB">
                        <w:rPr>
                          <w:noProof/>
                          <w:sz w:val="16"/>
                          <w:szCs w:val="16"/>
                        </w:rPr>
                        <w:t>4</w:t>
                      </w:r>
                      <w: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4E" w:rsidRDefault="009333C7" w:rsidP="006F614E">
    <w:pPr>
      <w:pStyle w:val="Pieddepage"/>
      <w:jc w:val="center"/>
    </w:pPr>
    <w:r>
      <w:rPr>
        <w:noProof/>
        <w:lang w:val="fr-FR" w:eastAsia="fr-FR"/>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5"/>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6"/>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6F614E" w:rsidRDefault="009333C7">
                            <w:pPr>
                              <w:pStyle w:val="Pieddepage"/>
                              <w:jc w:val="center"/>
                              <w:rPr>
                                <w:sz w:val="16"/>
                                <w:szCs w:val="16"/>
                              </w:rPr>
                            </w:pPr>
                            <w:r>
                              <w:fldChar w:fldCharType="begin"/>
                            </w:r>
                            <w:r>
                              <w:instrText xml:space="preserve"> PAGE    \* MERGEFORMAT </w:instrText>
                            </w:r>
                            <w:r>
                              <w:fldChar w:fldCharType="separate"/>
                            </w:r>
                            <w:r w:rsidR="001121BB" w:rsidRPr="001121BB">
                              <w:rPr>
                                <w:noProof/>
                                <w:sz w:val="16"/>
                                <w:szCs w:val="16"/>
                              </w:rPr>
                              <w:t>1</w:t>
                            </w:r>
                            <w: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9" style="position:absolute;left:0;text-align:left;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DeUdxy&#10;aQMAACM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5" o:spid="_x0000_s103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6" o:spid="_x0000_s103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6F614E" w:rsidRDefault="009333C7">
                      <w:pPr>
                        <w:pStyle w:val="Pieddepage"/>
                        <w:jc w:val="center"/>
                        <w:rPr>
                          <w:sz w:val="16"/>
                          <w:szCs w:val="16"/>
                        </w:rPr>
                      </w:pPr>
                      <w:r>
                        <w:fldChar w:fldCharType="begin"/>
                      </w:r>
                      <w:r>
                        <w:instrText xml:space="preserve"> PAGE    \* MERGEFORMAT </w:instrText>
                      </w:r>
                      <w:r>
                        <w:fldChar w:fldCharType="separate"/>
                      </w:r>
                      <w:r w:rsidR="001121BB" w:rsidRPr="001121BB">
                        <w:rPr>
                          <w:noProof/>
                          <w:sz w:val="16"/>
                          <w:szCs w:val="16"/>
                        </w:rPr>
                        <w:t>1</w:t>
                      </w:r>
                      <w: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6C" w:rsidRDefault="003A0FDA">
      <w:r>
        <w:separator/>
      </w:r>
    </w:p>
  </w:footnote>
  <w:footnote w:type="continuationSeparator" w:id="0">
    <w:p w:rsidR="00E75D6C" w:rsidRDefault="003A0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4E" w:rsidRDefault="009333C7" w:rsidP="006F614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6F614E" w:rsidRDefault="001121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16C2"/>
    <w:multiLevelType w:val="hybridMultilevel"/>
    <w:tmpl w:val="46A6AC9C"/>
    <w:lvl w:ilvl="0" w:tplc="19DEC8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8E8255D"/>
    <w:multiLevelType w:val="hybridMultilevel"/>
    <w:tmpl w:val="1316812E"/>
    <w:lvl w:ilvl="0" w:tplc="140C0015">
      <w:start w:val="1"/>
      <w:numFmt w:val="upp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6D8837B2"/>
    <w:multiLevelType w:val="hybridMultilevel"/>
    <w:tmpl w:val="EC3E98C8"/>
    <w:lvl w:ilvl="0" w:tplc="140C0015">
      <w:start w:val="1"/>
      <w:numFmt w:val="upp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765A19FB"/>
    <w:multiLevelType w:val="hybridMultilevel"/>
    <w:tmpl w:val="DCA4FC46"/>
    <w:lvl w:ilvl="0" w:tplc="AB2E8E08">
      <w:start w:val="1"/>
      <w:numFmt w:val="decimal"/>
      <w:lvlText w:val="%1."/>
      <w:lvlJc w:val="left"/>
      <w:pPr>
        <w:ind w:left="720" w:hanging="360"/>
      </w:pPr>
      <w:rPr>
        <w:rFonts w:ascii="Times New Roman" w:eastAsia="Times New Roman" w:hAnsi="Times New Roman" w:cs="Times New Roman" w:hint="default"/>
        <w:i w:val="0"/>
        <w:sz w:val="24"/>
        <w:lang w:val="fr-LU"/>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C7"/>
    <w:rsid w:val="001121BB"/>
    <w:rsid w:val="003A0FDA"/>
    <w:rsid w:val="007F68CC"/>
    <w:rsid w:val="009333C7"/>
    <w:rsid w:val="00E75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C7"/>
    <w:pPr>
      <w:spacing w:after="0" w:line="240" w:lineRule="auto"/>
    </w:pPr>
    <w:rPr>
      <w:rFonts w:ascii="Times New Roman" w:eastAsia="Times New Roman" w:hAnsi="Times New Roman" w:cs="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333C7"/>
    <w:pPr>
      <w:tabs>
        <w:tab w:val="center" w:pos="4536"/>
        <w:tab w:val="right" w:pos="9072"/>
      </w:tabs>
    </w:pPr>
  </w:style>
  <w:style w:type="character" w:customStyle="1" w:styleId="En-tteCar">
    <w:name w:val="En-tête Car"/>
    <w:basedOn w:val="Policepardfaut"/>
    <w:link w:val="En-tte"/>
    <w:rsid w:val="009333C7"/>
    <w:rPr>
      <w:rFonts w:ascii="Times New Roman" w:eastAsia="Times New Roman" w:hAnsi="Times New Roman" w:cs="Times New Roman"/>
      <w:sz w:val="24"/>
      <w:szCs w:val="24"/>
      <w:lang w:val="de-DE" w:eastAsia="de-DE"/>
    </w:rPr>
  </w:style>
  <w:style w:type="paragraph" w:styleId="Pieddepage">
    <w:name w:val="footer"/>
    <w:basedOn w:val="Normal"/>
    <w:link w:val="PieddepageCar"/>
    <w:uiPriority w:val="99"/>
    <w:rsid w:val="009333C7"/>
    <w:pPr>
      <w:tabs>
        <w:tab w:val="center" w:pos="4536"/>
        <w:tab w:val="right" w:pos="9072"/>
      </w:tabs>
    </w:pPr>
  </w:style>
  <w:style w:type="character" w:customStyle="1" w:styleId="PieddepageCar">
    <w:name w:val="Pied de page Car"/>
    <w:basedOn w:val="Policepardfaut"/>
    <w:link w:val="Pieddepage"/>
    <w:uiPriority w:val="99"/>
    <w:rsid w:val="009333C7"/>
    <w:rPr>
      <w:rFonts w:ascii="Times New Roman" w:eastAsia="Times New Roman" w:hAnsi="Times New Roman" w:cs="Times New Roman"/>
      <w:sz w:val="24"/>
      <w:szCs w:val="24"/>
      <w:lang w:val="de-DE" w:eastAsia="de-DE"/>
    </w:rPr>
  </w:style>
  <w:style w:type="character" w:styleId="Numrodepage">
    <w:name w:val="page number"/>
    <w:basedOn w:val="Policepardfaut"/>
    <w:rsid w:val="009333C7"/>
  </w:style>
  <w:style w:type="character" w:styleId="Accentuation">
    <w:name w:val="Emphasis"/>
    <w:uiPriority w:val="20"/>
    <w:qFormat/>
    <w:rsid w:val="009333C7"/>
    <w:rPr>
      <w:i/>
      <w:iCs/>
    </w:rPr>
  </w:style>
  <w:style w:type="paragraph" w:styleId="Textedebulles">
    <w:name w:val="Balloon Text"/>
    <w:basedOn w:val="Normal"/>
    <w:link w:val="TextedebullesCar"/>
    <w:uiPriority w:val="99"/>
    <w:semiHidden/>
    <w:unhideWhenUsed/>
    <w:rsid w:val="009333C7"/>
    <w:rPr>
      <w:rFonts w:ascii="Tahoma" w:hAnsi="Tahoma" w:cs="Tahoma"/>
      <w:sz w:val="16"/>
      <w:szCs w:val="16"/>
    </w:rPr>
  </w:style>
  <w:style w:type="character" w:customStyle="1" w:styleId="TextedebullesCar">
    <w:name w:val="Texte de bulles Car"/>
    <w:basedOn w:val="Policepardfaut"/>
    <w:link w:val="Textedebulles"/>
    <w:uiPriority w:val="99"/>
    <w:semiHidden/>
    <w:rsid w:val="009333C7"/>
    <w:rPr>
      <w:rFonts w:ascii="Tahoma" w:eastAsia="Times New Roman" w:hAnsi="Tahoma" w:cs="Tahoma"/>
      <w:sz w:val="16"/>
      <w:szCs w:val="16"/>
      <w:lang w:val="de-DE" w:eastAsia="de-DE"/>
    </w:rPr>
  </w:style>
  <w:style w:type="character" w:customStyle="1" w:styleId="viewdoc">
    <w:name w:val="viewdoc"/>
    <w:basedOn w:val="Policepardfaut"/>
    <w:rsid w:val="009333C7"/>
  </w:style>
  <w:style w:type="character" w:customStyle="1" w:styleId="at4">
    <w:name w:val="a__t4"/>
    <w:basedOn w:val="Policepardfaut"/>
    <w:rsid w:val="009333C7"/>
  </w:style>
  <w:style w:type="character" w:customStyle="1" w:styleId="st">
    <w:name w:val="st"/>
    <w:basedOn w:val="Policepardfaut"/>
    <w:rsid w:val="00933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C7"/>
    <w:pPr>
      <w:spacing w:after="0" w:line="240" w:lineRule="auto"/>
    </w:pPr>
    <w:rPr>
      <w:rFonts w:ascii="Times New Roman" w:eastAsia="Times New Roman" w:hAnsi="Times New Roman" w:cs="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333C7"/>
    <w:pPr>
      <w:tabs>
        <w:tab w:val="center" w:pos="4536"/>
        <w:tab w:val="right" w:pos="9072"/>
      </w:tabs>
    </w:pPr>
  </w:style>
  <w:style w:type="character" w:customStyle="1" w:styleId="En-tteCar">
    <w:name w:val="En-tête Car"/>
    <w:basedOn w:val="Policepardfaut"/>
    <w:link w:val="En-tte"/>
    <w:rsid w:val="009333C7"/>
    <w:rPr>
      <w:rFonts w:ascii="Times New Roman" w:eastAsia="Times New Roman" w:hAnsi="Times New Roman" w:cs="Times New Roman"/>
      <w:sz w:val="24"/>
      <w:szCs w:val="24"/>
      <w:lang w:val="de-DE" w:eastAsia="de-DE"/>
    </w:rPr>
  </w:style>
  <w:style w:type="paragraph" w:styleId="Pieddepage">
    <w:name w:val="footer"/>
    <w:basedOn w:val="Normal"/>
    <w:link w:val="PieddepageCar"/>
    <w:uiPriority w:val="99"/>
    <w:rsid w:val="009333C7"/>
    <w:pPr>
      <w:tabs>
        <w:tab w:val="center" w:pos="4536"/>
        <w:tab w:val="right" w:pos="9072"/>
      </w:tabs>
    </w:pPr>
  </w:style>
  <w:style w:type="character" w:customStyle="1" w:styleId="PieddepageCar">
    <w:name w:val="Pied de page Car"/>
    <w:basedOn w:val="Policepardfaut"/>
    <w:link w:val="Pieddepage"/>
    <w:uiPriority w:val="99"/>
    <w:rsid w:val="009333C7"/>
    <w:rPr>
      <w:rFonts w:ascii="Times New Roman" w:eastAsia="Times New Roman" w:hAnsi="Times New Roman" w:cs="Times New Roman"/>
      <w:sz w:val="24"/>
      <w:szCs w:val="24"/>
      <w:lang w:val="de-DE" w:eastAsia="de-DE"/>
    </w:rPr>
  </w:style>
  <w:style w:type="character" w:styleId="Numrodepage">
    <w:name w:val="page number"/>
    <w:basedOn w:val="Policepardfaut"/>
    <w:rsid w:val="009333C7"/>
  </w:style>
  <w:style w:type="character" w:styleId="Accentuation">
    <w:name w:val="Emphasis"/>
    <w:uiPriority w:val="20"/>
    <w:qFormat/>
    <w:rsid w:val="009333C7"/>
    <w:rPr>
      <w:i/>
      <w:iCs/>
    </w:rPr>
  </w:style>
  <w:style w:type="paragraph" w:styleId="Textedebulles">
    <w:name w:val="Balloon Text"/>
    <w:basedOn w:val="Normal"/>
    <w:link w:val="TextedebullesCar"/>
    <w:uiPriority w:val="99"/>
    <w:semiHidden/>
    <w:unhideWhenUsed/>
    <w:rsid w:val="009333C7"/>
    <w:rPr>
      <w:rFonts w:ascii="Tahoma" w:hAnsi="Tahoma" w:cs="Tahoma"/>
      <w:sz w:val="16"/>
      <w:szCs w:val="16"/>
    </w:rPr>
  </w:style>
  <w:style w:type="character" w:customStyle="1" w:styleId="TextedebullesCar">
    <w:name w:val="Texte de bulles Car"/>
    <w:basedOn w:val="Policepardfaut"/>
    <w:link w:val="Textedebulles"/>
    <w:uiPriority w:val="99"/>
    <w:semiHidden/>
    <w:rsid w:val="009333C7"/>
    <w:rPr>
      <w:rFonts w:ascii="Tahoma" w:eastAsia="Times New Roman" w:hAnsi="Tahoma" w:cs="Tahoma"/>
      <w:sz w:val="16"/>
      <w:szCs w:val="16"/>
      <w:lang w:val="de-DE" w:eastAsia="de-DE"/>
    </w:rPr>
  </w:style>
  <w:style w:type="character" w:customStyle="1" w:styleId="viewdoc">
    <w:name w:val="viewdoc"/>
    <w:basedOn w:val="Policepardfaut"/>
    <w:rsid w:val="009333C7"/>
  </w:style>
  <w:style w:type="character" w:customStyle="1" w:styleId="at4">
    <w:name w:val="a__t4"/>
    <w:basedOn w:val="Policepardfaut"/>
    <w:rsid w:val="009333C7"/>
  </w:style>
  <w:style w:type="character" w:customStyle="1" w:styleId="st">
    <w:name w:val="st"/>
    <w:basedOn w:val="Policepardfaut"/>
    <w:rsid w:val="00933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1509</Words>
  <Characters>8305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Région Lorraine</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Poirot Alicia</dc:creator>
  <cp:lastModifiedBy>Poirot Alicia</cp:lastModifiedBy>
  <cp:revision>3</cp:revision>
  <dcterms:created xsi:type="dcterms:W3CDTF">2012-06-11T17:27:00Z</dcterms:created>
  <dcterms:modified xsi:type="dcterms:W3CDTF">2012-06-18T15:57:00Z</dcterms:modified>
</cp:coreProperties>
</file>